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4C8BC" w14:textId="72EAC6B2" w:rsidR="0044203F" w:rsidRDefault="00586DF7">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8"/>
          <w:szCs w:val="28"/>
        </w:rPr>
      </w:pPr>
      <w:bookmarkStart w:id="0" w:name="_heading=h.mv5o8p1ytouh" w:colFirst="0" w:colLast="0"/>
      <w:bookmarkEnd w:id="0"/>
      <w:r w:rsidRPr="00DA605F">
        <w:rPr>
          <w:rFonts w:ascii="Times New Roman" w:eastAsia="Times New Roman" w:hAnsi="Times New Roman" w:cs="Times New Roman"/>
          <w:b/>
          <w:bCs/>
          <w:color w:val="000000"/>
          <w:sz w:val="28"/>
          <w:szCs w:val="28"/>
        </w:rPr>
        <w:t xml:space="preserve">Política de </w:t>
      </w:r>
      <w:r w:rsidR="00B54876">
        <w:rPr>
          <w:rFonts w:ascii="Times New Roman" w:eastAsia="Times New Roman" w:hAnsi="Times New Roman" w:cs="Times New Roman"/>
          <w:b/>
          <w:bCs/>
          <w:color w:val="000000"/>
          <w:sz w:val="28"/>
          <w:szCs w:val="28"/>
        </w:rPr>
        <w:t>p</w:t>
      </w:r>
      <w:r w:rsidRPr="00DA605F">
        <w:rPr>
          <w:rFonts w:ascii="Times New Roman" w:eastAsia="Times New Roman" w:hAnsi="Times New Roman" w:cs="Times New Roman"/>
          <w:b/>
          <w:bCs/>
          <w:color w:val="000000"/>
          <w:sz w:val="28"/>
          <w:szCs w:val="28"/>
        </w:rPr>
        <w:t xml:space="preserve">az </w:t>
      </w:r>
      <w:r w:rsidR="00B54876">
        <w:rPr>
          <w:rFonts w:ascii="Times New Roman" w:eastAsia="Times New Roman" w:hAnsi="Times New Roman" w:cs="Times New Roman"/>
          <w:b/>
          <w:bCs/>
          <w:color w:val="000000"/>
          <w:sz w:val="28"/>
          <w:szCs w:val="28"/>
        </w:rPr>
        <w:t>t</w:t>
      </w:r>
      <w:r w:rsidRPr="00DA605F">
        <w:rPr>
          <w:rFonts w:ascii="Times New Roman" w:eastAsia="Times New Roman" w:hAnsi="Times New Roman" w:cs="Times New Roman"/>
          <w:b/>
          <w:bCs/>
          <w:color w:val="000000"/>
          <w:sz w:val="28"/>
          <w:szCs w:val="28"/>
        </w:rPr>
        <w:t>otal en Colombia: un análisis de los discursos de Gustavo Petro y las amenazas transnacionales del Tren de Aragua</w:t>
      </w:r>
    </w:p>
    <w:p w14:paraId="5DA653CC" w14:textId="77777777" w:rsidR="00DA605F" w:rsidRPr="00DA605F" w:rsidRDefault="00DA605F">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8"/>
          <w:szCs w:val="28"/>
        </w:rPr>
      </w:pPr>
    </w:p>
    <w:p w14:paraId="3F320307" w14:textId="31FBED54" w:rsidR="00CF39A6" w:rsidRPr="000244F5" w:rsidRDefault="00586DF7">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lang w:val="en-US"/>
        </w:rPr>
      </w:pPr>
      <w:r w:rsidRPr="000244F5">
        <w:rPr>
          <w:rFonts w:ascii="Times New Roman" w:eastAsia="Times New Roman" w:hAnsi="Times New Roman" w:cs="Times New Roman"/>
          <w:b/>
          <w:bCs/>
          <w:color w:val="000000"/>
          <w:sz w:val="24"/>
          <w:szCs w:val="24"/>
          <w:lang w:val="en-US"/>
        </w:rPr>
        <w:t xml:space="preserve">Colombia’s </w:t>
      </w:r>
      <w:r w:rsidR="00AE1435">
        <w:rPr>
          <w:rFonts w:ascii="Times New Roman" w:eastAsia="Times New Roman" w:hAnsi="Times New Roman" w:cs="Times New Roman"/>
          <w:b/>
          <w:bCs/>
          <w:color w:val="000000"/>
          <w:sz w:val="24"/>
          <w:szCs w:val="24"/>
          <w:lang w:val="en-US"/>
        </w:rPr>
        <w:t>t</w:t>
      </w:r>
      <w:r w:rsidRPr="000244F5">
        <w:rPr>
          <w:rFonts w:ascii="Times New Roman" w:eastAsia="Times New Roman" w:hAnsi="Times New Roman" w:cs="Times New Roman"/>
          <w:b/>
          <w:bCs/>
          <w:color w:val="000000"/>
          <w:sz w:val="24"/>
          <w:szCs w:val="24"/>
          <w:lang w:val="en-US"/>
        </w:rPr>
        <w:t xml:space="preserve">otal </w:t>
      </w:r>
      <w:r w:rsidR="00AE1435">
        <w:rPr>
          <w:rFonts w:ascii="Times New Roman" w:eastAsia="Times New Roman" w:hAnsi="Times New Roman" w:cs="Times New Roman"/>
          <w:b/>
          <w:bCs/>
          <w:color w:val="000000"/>
          <w:sz w:val="24"/>
          <w:szCs w:val="24"/>
          <w:lang w:val="en-US"/>
        </w:rPr>
        <w:t>p</w:t>
      </w:r>
      <w:r w:rsidRPr="000244F5">
        <w:rPr>
          <w:rFonts w:ascii="Times New Roman" w:eastAsia="Times New Roman" w:hAnsi="Times New Roman" w:cs="Times New Roman"/>
          <w:b/>
          <w:bCs/>
          <w:color w:val="000000"/>
          <w:sz w:val="24"/>
          <w:szCs w:val="24"/>
          <w:lang w:val="en-US"/>
        </w:rPr>
        <w:t xml:space="preserve">eace </w:t>
      </w:r>
      <w:r w:rsidR="00AE1435">
        <w:rPr>
          <w:rFonts w:ascii="Times New Roman" w:eastAsia="Times New Roman" w:hAnsi="Times New Roman" w:cs="Times New Roman"/>
          <w:b/>
          <w:bCs/>
          <w:color w:val="000000"/>
          <w:sz w:val="24"/>
          <w:szCs w:val="24"/>
          <w:lang w:val="en-US"/>
        </w:rPr>
        <w:t>p</w:t>
      </w:r>
      <w:r w:rsidRPr="000244F5">
        <w:rPr>
          <w:rFonts w:ascii="Times New Roman" w:eastAsia="Times New Roman" w:hAnsi="Times New Roman" w:cs="Times New Roman"/>
          <w:b/>
          <w:bCs/>
          <w:color w:val="000000"/>
          <w:sz w:val="24"/>
          <w:szCs w:val="24"/>
          <w:lang w:val="en-US"/>
        </w:rPr>
        <w:t xml:space="preserve">olicy: </w:t>
      </w:r>
      <w:r w:rsidR="00AE1435">
        <w:rPr>
          <w:rFonts w:ascii="Times New Roman" w:eastAsia="Times New Roman" w:hAnsi="Times New Roman" w:cs="Times New Roman"/>
          <w:b/>
          <w:bCs/>
          <w:color w:val="000000"/>
          <w:sz w:val="24"/>
          <w:szCs w:val="24"/>
          <w:lang w:val="en-US"/>
        </w:rPr>
        <w:t>a</w:t>
      </w:r>
      <w:r w:rsidRPr="000244F5">
        <w:rPr>
          <w:rFonts w:ascii="Times New Roman" w:eastAsia="Times New Roman" w:hAnsi="Times New Roman" w:cs="Times New Roman"/>
          <w:b/>
          <w:bCs/>
          <w:color w:val="000000"/>
          <w:sz w:val="24"/>
          <w:szCs w:val="24"/>
          <w:lang w:val="en-US"/>
        </w:rPr>
        <w:t xml:space="preserve">n </w:t>
      </w:r>
      <w:r w:rsidR="00AE1435">
        <w:rPr>
          <w:rFonts w:ascii="Times New Roman" w:eastAsia="Times New Roman" w:hAnsi="Times New Roman" w:cs="Times New Roman"/>
          <w:b/>
          <w:bCs/>
          <w:color w:val="000000"/>
          <w:sz w:val="24"/>
          <w:szCs w:val="24"/>
          <w:lang w:val="en-US"/>
        </w:rPr>
        <w:t>a</w:t>
      </w:r>
      <w:r w:rsidRPr="000244F5">
        <w:rPr>
          <w:rFonts w:ascii="Times New Roman" w:eastAsia="Times New Roman" w:hAnsi="Times New Roman" w:cs="Times New Roman"/>
          <w:b/>
          <w:bCs/>
          <w:color w:val="000000"/>
          <w:sz w:val="24"/>
          <w:szCs w:val="24"/>
          <w:lang w:val="en-US"/>
        </w:rPr>
        <w:t xml:space="preserve">nalysis of Gustavo Petro’s </w:t>
      </w:r>
      <w:r w:rsidR="00AE1435">
        <w:rPr>
          <w:rFonts w:ascii="Times New Roman" w:eastAsia="Times New Roman" w:hAnsi="Times New Roman" w:cs="Times New Roman"/>
          <w:b/>
          <w:bCs/>
          <w:color w:val="000000"/>
          <w:sz w:val="24"/>
          <w:szCs w:val="24"/>
          <w:lang w:val="en-US"/>
        </w:rPr>
        <w:t>d</w:t>
      </w:r>
      <w:r w:rsidRPr="000244F5">
        <w:rPr>
          <w:rFonts w:ascii="Times New Roman" w:eastAsia="Times New Roman" w:hAnsi="Times New Roman" w:cs="Times New Roman"/>
          <w:b/>
          <w:bCs/>
          <w:color w:val="000000"/>
          <w:sz w:val="24"/>
          <w:szCs w:val="24"/>
          <w:lang w:val="en-US"/>
        </w:rPr>
        <w:t xml:space="preserve">iscourses and the </w:t>
      </w:r>
      <w:r w:rsidR="00AE1435">
        <w:rPr>
          <w:rFonts w:ascii="Times New Roman" w:eastAsia="Times New Roman" w:hAnsi="Times New Roman" w:cs="Times New Roman"/>
          <w:b/>
          <w:bCs/>
          <w:color w:val="000000"/>
          <w:sz w:val="24"/>
          <w:szCs w:val="24"/>
          <w:lang w:val="en-US"/>
        </w:rPr>
        <w:t>t</w:t>
      </w:r>
      <w:r w:rsidRPr="000244F5">
        <w:rPr>
          <w:rFonts w:ascii="Times New Roman" w:eastAsia="Times New Roman" w:hAnsi="Times New Roman" w:cs="Times New Roman"/>
          <w:b/>
          <w:bCs/>
          <w:color w:val="000000"/>
          <w:sz w:val="24"/>
          <w:szCs w:val="24"/>
          <w:lang w:val="en-US"/>
        </w:rPr>
        <w:t xml:space="preserve">ransnational </w:t>
      </w:r>
      <w:r w:rsidR="00AE1435">
        <w:rPr>
          <w:rFonts w:ascii="Times New Roman" w:eastAsia="Times New Roman" w:hAnsi="Times New Roman" w:cs="Times New Roman"/>
          <w:b/>
          <w:bCs/>
          <w:color w:val="000000"/>
          <w:sz w:val="24"/>
          <w:szCs w:val="24"/>
          <w:lang w:val="en-US"/>
        </w:rPr>
        <w:t>t</w:t>
      </w:r>
      <w:r w:rsidRPr="000244F5">
        <w:rPr>
          <w:rFonts w:ascii="Times New Roman" w:eastAsia="Times New Roman" w:hAnsi="Times New Roman" w:cs="Times New Roman"/>
          <w:b/>
          <w:bCs/>
          <w:color w:val="000000"/>
          <w:sz w:val="24"/>
          <w:szCs w:val="24"/>
          <w:lang w:val="en-US"/>
        </w:rPr>
        <w:t>hreats of the Tren de Aragua)</w:t>
      </w:r>
    </w:p>
    <w:p w14:paraId="2D24C8BF" w14:textId="77777777" w:rsidR="0044203F" w:rsidRPr="000244F5" w:rsidRDefault="0044203F" w:rsidP="000244F5">
      <w:pPr>
        <w:pBdr>
          <w:top w:val="nil"/>
          <w:left w:val="nil"/>
          <w:bottom w:val="nil"/>
          <w:right w:val="nil"/>
          <w:between w:val="nil"/>
        </w:pBdr>
        <w:spacing w:after="0" w:line="240" w:lineRule="auto"/>
        <w:jc w:val="right"/>
        <w:rPr>
          <w:rFonts w:ascii="Times New Roman" w:eastAsia="Times New Roman" w:hAnsi="Times New Roman" w:cs="Times New Roman"/>
          <w:sz w:val="24"/>
          <w:szCs w:val="24"/>
          <w:lang w:val="en-US"/>
        </w:rPr>
      </w:pPr>
    </w:p>
    <w:p w14:paraId="2D24C8C0" w14:textId="77777777" w:rsidR="0044203F" w:rsidRPr="000244F5" w:rsidRDefault="0044203F">
      <w:pPr>
        <w:spacing w:after="0" w:line="240" w:lineRule="auto"/>
        <w:jc w:val="center"/>
        <w:rPr>
          <w:rFonts w:ascii="Times New Roman" w:eastAsia="Times New Roman" w:hAnsi="Times New Roman" w:cs="Times New Roman"/>
          <w:b/>
          <w:bCs/>
          <w:sz w:val="24"/>
          <w:szCs w:val="24"/>
          <w:lang w:val="en-US"/>
        </w:rPr>
      </w:pPr>
    </w:p>
    <w:p w14:paraId="2D24C8C1" w14:textId="00EE0EFE" w:rsidR="0044203F" w:rsidRPr="00ED2EFB" w:rsidRDefault="00586DF7">
      <w:pPr>
        <w:spacing w:after="0" w:line="240" w:lineRule="auto"/>
        <w:jc w:val="center"/>
        <w:rPr>
          <w:rFonts w:ascii="Times New Roman" w:eastAsia="Times New Roman" w:hAnsi="Times New Roman" w:cs="Times New Roman"/>
          <w:b/>
          <w:bCs/>
          <w:sz w:val="24"/>
          <w:szCs w:val="24"/>
        </w:rPr>
      </w:pPr>
      <w:r w:rsidRPr="00DC104E">
        <w:rPr>
          <w:rFonts w:ascii="Times New Roman" w:eastAsia="Arial" w:hAnsi="Times New Roman" w:cs="Times New Roman"/>
          <w:b/>
          <w:bCs/>
          <w:sz w:val="24"/>
          <w:szCs w:val="24"/>
        </w:rPr>
        <w:t>Lorena Erazo Patiño</w:t>
      </w:r>
      <w:r w:rsidR="00E301E4" w:rsidRPr="00E301E4">
        <w:rPr>
          <w:rStyle w:val="Refdenotaalpie"/>
          <w:rFonts w:ascii="Times New Roman" w:eastAsia="Times New Roman" w:hAnsi="Times New Roman" w:cs="Times New Roman"/>
          <w:b/>
          <w:bCs/>
          <w:sz w:val="24"/>
          <w:szCs w:val="24"/>
        </w:rPr>
        <w:footnoteReference w:customMarkFollows="1" w:id="1"/>
        <w:sym w:font="Symbol" w:char="F02A"/>
      </w:r>
    </w:p>
    <w:p w14:paraId="2D24C8C2" w14:textId="6E8E79F5" w:rsidR="0044203F" w:rsidRPr="00DA605F" w:rsidRDefault="00586DF7">
      <w:pPr>
        <w:spacing w:after="0" w:line="240" w:lineRule="auto"/>
        <w:jc w:val="center"/>
        <w:rPr>
          <w:rFonts w:ascii="Times New Roman" w:eastAsia="Times New Roman" w:hAnsi="Times New Roman" w:cs="Times New Roman"/>
          <w:i/>
          <w:iCs/>
        </w:rPr>
      </w:pPr>
      <w:r w:rsidRPr="00DA605F">
        <w:rPr>
          <w:rFonts w:ascii="Times New Roman" w:eastAsia="Times New Roman" w:hAnsi="Times New Roman" w:cs="Times New Roman"/>
          <w:i/>
          <w:iCs/>
        </w:rPr>
        <w:t>Universidad de La Salle</w:t>
      </w:r>
      <w:r w:rsidR="00B71089" w:rsidRPr="00DA605F">
        <w:rPr>
          <w:rFonts w:ascii="Times New Roman" w:eastAsia="Times New Roman" w:hAnsi="Times New Roman" w:cs="Times New Roman"/>
          <w:i/>
          <w:iCs/>
        </w:rPr>
        <w:t xml:space="preserve"> y Universidad de los Andes</w:t>
      </w:r>
      <w:r w:rsidRPr="00DA605F">
        <w:rPr>
          <w:rFonts w:ascii="Times New Roman" w:eastAsia="Times New Roman" w:hAnsi="Times New Roman" w:cs="Times New Roman"/>
          <w:i/>
          <w:iCs/>
        </w:rPr>
        <w:t xml:space="preserve">, Bogotá, Colombia </w:t>
      </w:r>
    </w:p>
    <w:p w14:paraId="2D24C8C3" w14:textId="33041071" w:rsidR="0044203F" w:rsidRPr="00ED2EFB" w:rsidRDefault="00586DF7">
      <w:pPr>
        <w:spacing w:after="0" w:line="240" w:lineRule="auto"/>
        <w:jc w:val="center"/>
        <w:rPr>
          <w:rFonts w:ascii="Times New Roman" w:eastAsia="Times New Roman" w:hAnsi="Times New Roman" w:cs="Times New Roman"/>
          <w:b/>
          <w:bCs/>
          <w:sz w:val="24"/>
          <w:szCs w:val="24"/>
        </w:rPr>
      </w:pPr>
      <w:r w:rsidRPr="00DC104E">
        <w:rPr>
          <w:rFonts w:ascii="Times New Roman" w:eastAsia="Arial" w:hAnsi="Times New Roman" w:cs="Times New Roman"/>
          <w:b/>
          <w:bCs/>
          <w:sz w:val="24"/>
          <w:szCs w:val="24"/>
        </w:rPr>
        <w:t>Carlos Alfonso Laverde Rodr</w:t>
      </w:r>
      <w:r w:rsidR="00E301E4">
        <w:rPr>
          <w:rFonts w:ascii="Times New Roman" w:eastAsia="Arial" w:hAnsi="Times New Roman" w:cs="Times New Roman"/>
          <w:b/>
          <w:bCs/>
          <w:sz w:val="24"/>
          <w:szCs w:val="24"/>
        </w:rPr>
        <w:t>í</w:t>
      </w:r>
      <w:r w:rsidRPr="00DC104E">
        <w:rPr>
          <w:rFonts w:ascii="Times New Roman" w:eastAsia="Arial" w:hAnsi="Times New Roman" w:cs="Times New Roman"/>
          <w:b/>
          <w:bCs/>
          <w:sz w:val="24"/>
          <w:szCs w:val="24"/>
        </w:rPr>
        <w:t>guez</w:t>
      </w:r>
      <w:r w:rsidR="00E301E4" w:rsidRPr="00E301E4">
        <w:rPr>
          <w:rStyle w:val="Refdenotaalpie"/>
          <w:rFonts w:ascii="Times New Roman" w:eastAsia="Times New Roman" w:hAnsi="Times New Roman" w:cs="Times New Roman"/>
          <w:b/>
          <w:bCs/>
          <w:sz w:val="24"/>
          <w:szCs w:val="24"/>
        </w:rPr>
        <w:footnoteReference w:customMarkFollows="1" w:id="2"/>
        <w:sym w:font="Symbol" w:char="F02A"/>
      </w:r>
    </w:p>
    <w:p w14:paraId="2D24C8C4" w14:textId="77777777" w:rsidR="0044203F" w:rsidRPr="00DA605F" w:rsidRDefault="00586DF7">
      <w:pPr>
        <w:spacing w:after="0" w:line="240" w:lineRule="auto"/>
        <w:jc w:val="center"/>
        <w:rPr>
          <w:rFonts w:ascii="Times New Roman" w:eastAsia="Times New Roman" w:hAnsi="Times New Roman" w:cs="Times New Roman"/>
          <w:i/>
          <w:iCs/>
        </w:rPr>
      </w:pPr>
      <w:r w:rsidRPr="00DA605F">
        <w:rPr>
          <w:rFonts w:ascii="Times New Roman" w:eastAsia="Times New Roman" w:hAnsi="Times New Roman" w:cs="Times New Roman"/>
          <w:i/>
          <w:iCs/>
        </w:rPr>
        <w:t>Universidad Militar Nueva Granada, Cajicá, Colombia</w:t>
      </w:r>
    </w:p>
    <w:p w14:paraId="2D24C8C5" w14:textId="0EE651CE" w:rsidR="0044203F" w:rsidRPr="00ED2EFB" w:rsidRDefault="00586DF7">
      <w:pPr>
        <w:spacing w:after="0" w:line="240" w:lineRule="auto"/>
        <w:jc w:val="center"/>
        <w:rPr>
          <w:rFonts w:ascii="Times New Roman" w:eastAsia="Times New Roman" w:hAnsi="Times New Roman" w:cs="Times New Roman"/>
          <w:b/>
          <w:bCs/>
          <w:sz w:val="24"/>
          <w:szCs w:val="24"/>
          <w:vertAlign w:val="superscript"/>
        </w:rPr>
      </w:pPr>
      <w:r w:rsidRPr="00DC104E">
        <w:rPr>
          <w:rFonts w:ascii="Times New Roman" w:eastAsia="Arial" w:hAnsi="Times New Roman" w:cs="Times New Roman"/>
          <w:b/>
          <w:bCs/>
          <w:sz w:val="24"/>
          <w:szCs w:val="24"/>
        </w:rPr>
        <w:t>Emerson David Devia-Acevedo</w:t>
      </w:r>
      <w:r w:rsidR="00E301E4" w:rsidRPr="00E301E4">
        <w:rPr>
          <w:rStyle w:val="Refdenotaalpie"/>
          <w:rFonts w:ascii="Times New Roman" w:eastAsia="Times New Roman" w:hAnsi="Times New Roman" w:cs="Times New Roman"/>
          <w:b/>
          <w:bCs/>
          <w:sz w:val="24"/>
          <w:szCs w:val="24"/>
        </w:rPr>
        <w:footnoteReference w:customMarkFollows="1" w:id="3"/>
        <w:sym w:font="Symbol" w:char="F02A"/>
      </w:r>
    </w:p>
    <w:p w14:paraId="2D24C8C6" w14:textId="44C103F0" w:rsidR="0044203F" w:rsidRPr="00DA605F" w:rsidRDefault="0034717F">
      <w:pPr>
        <w:spacing w:after="0" w:line="240" w:lineRule="auto"/>
        <w:jc w:val="center"/>
        <w:rPr>
          <w:rFonts w:ascii="Times New Roman" w:eastAsia="Times New Roman" w:hAnsi="Times New Roman" w:cs="Times New Roman"/>
          <w:i/>
          <w:iCs/>
        </w:rPr>
      </w:pPr>
      <w:r w:rsidRPr="00DA605F">
        <w:rPr>
          <w:rFonts w:ascii="Times New Roman" w:eastAsia="Times New Roman" w:hAnsi="Times New Roman" w:cs="Times New Roman"/>
          <w:i/>
          <w:iCs/>
        </w:rPr>
        <w:t>Universidad de La Salle</w:t>
      </w:r>
      <w:r w:rsidR="00586DF7" w:rsidRPr="00DA605F">
        <w:rPr>
          <w:rFonts w:ascii="Times New Roman" w:eastAsia="Times New Roman" w:hAnsi="Times New Roman" w:cs="Times New Roman"/>
          <w:i/>
          <w:iCs/>
        </w:rPr>
        <w:t xml:space="preserve">, </w:t>
      </w:r>
      <w:r w:rsidRPr="00DA605F">
        <w:rPr>
          <w:rFonts w:ascii="Times New Roman" w:eastAsia="Times New Roman" w:hAnsi="Times New Roman" w:cs="Times New Roman"/>
          <w:i/>
          <w:iCs/>
        </w:rPr>
        <w:t>Bogotá, Colombia</w:t>
      </w:r>
    </w:p>
    <w:p w14:paraId="2D24C8C8" w14:textId="77777777" w:rsidR="0044203F" w:rsidRPr="000244F5" w:rsidRDefault="0044203F">
      <w:pPr>
        <w:spacing w:after="0" w:line="240" w:lineRule="auto"/>
        <w:rPr>
          <w:rFonts w:ascii="Times New Roman" w:eastAsia="Times New Roman" w:hAnsi="Times New Roman" w:cs="Times New Roman"/>
          <w:b/>
          <w:bCs/>
          <w:sz w:val="24"/>
          <w:szCs w:val="24"/>
        </w:rPr>
      </w:pPr>
    </w:p>
    <w:p w14:paraId="2D24C8C9" w14:textId="377547FB" w:rsidR="0044203F" w:rsidRDefault="00586DF7">
      <w:pPr>
        <w:spacing w:after="0" w:line="24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Resumen</w:t>
      </w:r>
    </w:p>
    <w:p w14:paraId="27E5D6FC" w14:textId="77777777" w:rsidR="000823C6" w:rsidRPr="00ED2EFB" w:rsidRDefault="000823C6">
      <w:pPr>
        <w:spacing w:after="0" w:line="240" w:lineRule="auto"/>
        <w:jc w:val="both"/>
        <w:rPr>
          <w:rFonts w:ascii="Times New Roman" w:eastAsia="Times New Roman" w:hAnsi="Times New Roman" w:cs="Times New Roman"/>
          <w:b/>
          <w:bCs/>
          <w:sz w:val="24"/>
          <w:szCs w:val="24"/>
        </w:rPr>
      </w:pPr>
    </w:p>
    <w:p w14:paraId="2D24C8CA" w14:textId="622A66DE" w:rsidR="0044203F" w:rsidRPr="00CA29B7" w:rsidRDefault="00586DF7" w:rsidP="00CA29B7">
      <w:pPr>
        <w:jc w:val="both"/>
        <w:rPr>
          <w:rFonts w:ascii="Times New Roman" w:eastAsia="Times New Roman" w:hAnsi="Times New Roman" w:cs="Times New Roman"/>
        </w:rPr>
      </w:pPr>
      <w:r w:rsidRPr="00CA29B7">
        <w:rPr>
          <w:rFonts w:ascii="Times New Roman" w:eastAsia="Times New Roman" w:hAnsi="Times New Roman" w:cs="Times New Roman"/>
        </w:rPr>
        <w:t xml:space="preserve">Objetivo: </w:t>
      </w:r>
      <w:r w:rsidR="00E76E7F" w:rsidRPr="00CA29B7">
        <w:rPr>
          <w:rFonts w:ascii="Times New Roman" w:eastAsia="Times New Roman" w:hAnsi="Times New Roman" w:cs="Times New Roman"/>
        </w:rPr>
        <w:t>a</w:t>
      </w:r>
      <w:r w:rsidRPr="00CA29B7">
        <w:rPr>
          <w:rFonts w:ascii="Times New Roman" w:eastAsia="Times New Roman" w:hAnsi="Times New Roman" w:cs="Times New Roman"/>
        </w:rPr>
        <w:t xml:space="preserve">nalizar cómo la Política de Paz Total del gobierno de Gustavo Petro integra (o no) la dimensión transnacional del crimen organizado, tomando como caso la expansión del Tren de Aragua. Método: </w:t>
      </w:r>
      <w:r w:rsidR="00DC104E" w:rsidRPr="00CA29B7">
        <w:rPr>
          <w:rFonts w:ascii="Times New Roman" w:eastAsia="Times New Roman" w:hAnsi="Times New Roman" w:cs="Times New Roman"/>
        </w:rPr>
        <w:t>i</w:t>
      </w:r>
      <w:r w:rsidRPr="00CA29B7">
        <w:rPr>
          <w:rFonts w:ascii="Times New Roman" w:eastAsia="Times New Roman" w:hAnsi="Times New Roman" w:cs="Times New Roman"/>
        </w:rPr>
        <w:t xml:space="preserve">nvestigación cualitativa, exploratoria, con enfoque constructivista‑interpretativo y diseño no experimental. Se efectuó un análisis de contenido asistido por MAXQDA y R sobre 24 discursos presidenciales (2022‑2024) y 30 documentos oficiales/periodísticos. Se aplicaron tres técnicas complementarias: </w:t>
      </w:r>
      <w:r w:rsidR="00DC104E" w:rsidRPr="00CA29B7">
        <w:rPr>
          <w:rFonts w:ascii="Times New Roman" w:eastAsia="Times New Roman" w:hAnsi="Times New Roman" w:cs="Times New Roman"/>
        </w:rPr>
        <w:t>a</w:t>
      </w:r>
      <w:r w:rsidRPr="00CA29B7">
        <w:rPr>
          <w:rFonts w:ascii="Times New Roman" w:eastAsia="Times New Roman" w:hAnsi="Times New Roman" w:cs="Times New Roman"/>
        </w:rPr>
        <w:t xml:space="preserve">nálisis </w:t>
      </w:r>
      <w:r w:rsidR="00DC104E" w:rsidRPr="00CA29B7">
        <w:rPr>
          <w:rFonts w:ascii="Times New Roman" w:eastAsia="Times New Roman" w:hAnsi="Times New Roman" w:cs="Times New Roman"/>
        </w:rPr>
        <w:t>c</w:t>
      </w:r>
      <w:r w:rsidRPr="00CA29B7">
        <w:rPr>
          <w:rFonts w:ascii="Times New Roman" w:eastAsia="Times New Roman" w:hAnsi="Times New Roman" w:cs="Times New Roman"/>
        </w:rPr>
        <w:t xml:space="preserve">rítico del </w:t>
      </w:r>
      <w:r w:rsidR="00DC104E" w:rsidRPr="00CA29B7">
        <w:rPr>
          <w:rFonts w:ascii="Times New Roman" w:eastAsia="Times New Roman" w:hAnsi="Times New Roman" w:cs="Times New Roman"/>
        </w:rPr>
        <w:t>d</w:t>
      </w:r>
      <w:r w:rsidRPr="00CA29B7">
        <w:rPr>
          <w:rFonts w:ascii="Times New Roman" w:eastAsia="Times New Roman" w:hAnsi="Times New Roman" w:cs="Times New Roman"/>
        </w:rPr>
        <w:t xml:space="preserve">iscurso, </w:t>
      </w:r>
      <w:proofErr w:type="spellStart"/>
      <w:r w:rsidR="00DC104E" w:rsidRPr="00CA29B7">
        <w:rPr>
          <w:rFonts w:ascii="Times New Roman" w:eastAsia="Times New Roman" w:hAnsi="Times New Roman" w:cs="Times New Roman"/>
          <w:i/>
          <w:iCs/>
        </w:rPr>
        <w:t>f</w:t>
      </w:r>
      <w:r w:rsidRPr="00CA29B7">
        <w:rPr>
          <w:rFonts w:ascii="Times New Roman" w:eastAsia="Times New Roman" w:hAnsi="Times New Roman" w:cs="Times New Roman"/>
          <w:i/>
          <w:iCs/>
        </w:rPr>
        <w:t>raming</w:t>
      </w:r>
      <w:proofErr w:type="spellEnd"/>
      <w:r w:rsidRPr="00CA29B7">
        <w:rPr>
          <w:rFonts w:ascii="Times New Roman" w:eastAsia="Times New Roman" w:hAnsi="Times New Roman" w:cs="Times New Roman"/>
          <w:i/>
          <w:iCs/>
        </w:rPr>
        <w:t> </w:t>
      </w:r>
      <w:r w:rsidR="00DC104E" w:rsidRPr="00CA29B7">
        <w:rPr>
          <w:rFonts w:ascii="Times New Roman" w:eastAsia="Times New Roman" w:hAnsi="Times New Roman" w:cs="Times New Roman"/>
          <w:i/>
          <w:iCs/>
        </w:rPr>
        <w:t>a</w:t>
      </w:r>
      <w:r w:rsidRPr="00CA29B7">
        <w:rPr>
          <w:rFonts w:ascii="Times New Roman" w:eastAsia="Times New Roman" w:hAnsi="Times New Roman" w:cs="Times New Roman"/>
          <w:i/>
          <w:iCs/>
        </w:rPr>
        <w:t>nalysis</w:t>
      </w:r>
      <w:r w:rsidRPr="00CA29B7">
        <w:rPr>
          <w:rFonts w:ascii="Times New Roman" w:eastAsia="Times New Roman" w:hAnsi="Times New Roman" w:cs="Times New Roman"/>
        </w:rPr>
        <w:t xml:space="preserve"> y </w:t>
      </w:r>
      <w:r w:rsidR="00DC104E" w:rsidRPr="00CA29B7">
        <w:rPr>
          <w:rFonts w:ascii="Times New Roman" w:eastAsia="Times New Roman" w:hAnsi="Times New Roman" w:cs="Times New Roman"/>
        </w:rPr>
        <w:t>a</w:t>
      </w:r>
      <w:r w:rsidRPr="00CA29B7">
        <w:rPr>
          <w:rFonts w:ascii="Times New Roman" w:eastAsia="Times New Roman" w:hAnsi="Times New Roman" w:cs="Times New Roman"/>
        </w:rPr>
        <w:t xml:space="preserve">nálisis </w:t>
      </w:r>
      <w:r w:rsidR="00DC104E" w:rsidRPr="00CA29B7">
        <w:rPr>
          <w:rFonts w:ascii="Times New Roman" w:eastAsia="Times New Roman" w:hAnsi="Times New Roman" w:cs="Times New Roman"/>
        </w:rPr>
        <w:t>r</w:t>
      </w:r>
      <w:r w:rsidRPr="00CA29B7">
        <w:rPr>
          <w:rFonts w:ascii="Times New Roman" w:eastAsia="Times New Roman" w:hAnsi="Times New Roman" w:cs="Times New Roman"/>
        </w:rPr>
        <w:t xml:space="preserve">etórico. No hubo participantes humanos; las unidades de análisis fueron los textos seleccionados mediante muestreo teórico. Resultados: </w:t>
      </w:r>
      <w:r w:rsidR="00DC104E" w:rsidRPr="00CA29B7">
        <w:rPr>
          <w:rFonts w:ascii="Times New Roman" w:eastAsia="Times New Roman" w:hAnsi="Times New Roman" w:cs="Times New Roman"/>
        </w:rPr>
        <w:t>e</w:t>
      </w:r>
      <w:r w:rsidRPr="00CA29B7">
        <w:rPr>
          <w:rFonts w:ascii="Times New Roman" w:eastAsia="Times New Roman" w:hAnsi="Times New Roman" w:cs="Times New Roman"/>
        </w:rPr>
        <w:t>l gobierno enmarca la amenaza del Tren de Aragua principalmente como asunto interno de seguridad ciudadana y negociación con actores armados, aludiendo escasamente (6 % de las codificaciones) a redes transnacionales, cooperación regional o control de flujos ilícitos. Esta omisión coexiste con un discurso de soberanía y paz que subestima condicionantes externos; por ello</w:t>
      </w:r>
      <w:sdt>
        <w:sdtPr>
          <w:rPr>
            <w:rFonts w:ascii="Times New Roman" w:hAnsi="Times New Roman" w:cs="Times New Roman"/>
          </w:rPr>
          <w:tag w:val="goog_rdk_0"/>
          <w:id w:val="703570655"/>
        </w:sdtPr>
        <w:sdtContent>
          <w:r w:rsidRPr="00CA29B7">
            <w:rPr>
              <w:rFonts w:ascii="Times New Roman" w:eastAsia="Times New Roman" w:hAnsi="Times New Roman" w:cs="Times New Roman"/>
            </w:rPr>
            <w:t>,</w:t>
          </w:r>
        </w:sdtContent>
      </w:sdt>
      <w:r w:rsidRPr="00CA29B7">
        <w:rPr>
          <w:rFonts w:ascii="Times New Roman" w:eastAsia="Times New Roman" w:hAnsi="Times New Roman" w:cs="Times New Roman"/>
        </w:rPr>
        <w:t xml:space="preserve"> la estrategia presenta vacíos de coordinación internacional y carece de mecanismos específicos frente al delito transfronterizo. Conclusiones: </w:t>
      </w:r>
      <w:r w:rsidR="00DC104E" w:rsidRPr="00CA29B7">
        <w:rPr>
          <w:rFonts w:ascii="Times New Roman" w:eastAsia="Times New Roman" w:hAnsi="Times New Roman" w:cs="Times New Roman"/>
        </w:rPr>
        <w:t>l</w:t>
      </w:r>
      <w:r w:rsidRPr="00CA29B7">
        <w:rPr>
          <w:rFonts w:ascii="Times New Roman" w:eastAsia="Times New Roman" w:hAnsi="Times New Roman" w:cs="Times New Roman"/>
        </w:rPr>
        <w:t>a Paz Total, tal como se formula, corre el riesgo de reproducir el sesgo doméstico señalado por el realismo neoclásico: sobrevalorar capacidades internas y subestimar presiones sistémicas. Incorporar diagnósticos multinivel y alianzas regionales resulta imprescindible para que el programa avance eficazmente en un contexto de criminalidad globalizada.</w:t>
      </w:r>
    </w:p>
    <w:p w14:paraId="1FF9A00F" w14:textId="33D5946C" w:rsidR="00CA29B7" w:rsidRDefault="00586DF7" w:rsidP="00CA29B7">
      <w:pPr>
        <w:jc w:val="both"/>
        <w:rPr>
          <w:rFonts w:ascii="Times New Roman" w:eastAsia="Times New Roman" w:hAnsi="Times New Roman" w:cs="Times New Roman"/>
        </w:rPr>
      </w:pPr>
      <w:r w:rsidRPr="00CA29B7">
        <w:rPr>
          <w:rFonts w:ascii="Times New Roman" w:eastAsia="Times New Roman" w:hAnsi="Times New Roman" w:cs="Times New Roman"/>
          <w:b/>
          <w:bCs/>
        </w:rPr>
        <w:t xml:space="preserve">Palabras clave: </w:t>
      </w:r>
      <w:r w:rsidR="00DC104E" w:rsidRPr="00CA29B7">
        <w:rPr>
          <w:rFonts w:ascii="Times New Roman" w:eastAsia="Times New Roman" w:hAnsi="Times New Roman" w:cs="Times New Roman"/>
        </w:rPr>
        <w:t>c</w:t>
      </w:r>
      <w:r w:rsidRPr="00CA29B7">
        <w:rPr>
          <w:rFonts w:ascii="Times New Roman" w:eastAsia="Times New Roman" w:hAnsi="Times New Roman" w:cs="Times New Roman"/>
        </w:rPr>
        <w:t xml:space="preserve">rimen </w:t>
      </w:r>
      <w:r w:rsidR="00DC104E" w:rsidRPr="00CA29B7">
        <w:rPr>
          <w:rFonts w:ascii="Times New Roman" w:eastAsia="Times New Roman" w:hAnsi="Times New Roman" w:cs="Times New Roman"/>
        </w:rPr>
        <w:t>o</w:t>
      </w:r>
      <w:r w:rsidRPr="00CA29B7">
        <w:rPr>
          <w:rFonts w:ascii="Times New Roman" w:eastAsia="Times New Roman" w:hAnsi="Times New Roman" w:cs="Times New Roman"/>
        </w:rPr>
        <w:t xml:space="preserve">rganizado </w:t>
      </w:r>
      <w:r w:rsidR="00DC104E" w:rsidRPr="00CA29B7">
        <w:rPr>
          <w:rFonts w:ascii="Times New Roman" w:eastAsia="Times New Roman" w:hAnsi="Times New Roman" w:cs="Times New Roman"/>
        </w:rPr>
        <w:t>t</w:t>
      </w:r>
      <w:r w:rsidRPr="00CA29B7">
        <w:rPr>
          <w:rFonts w:ascii="Times New Roman" w:eastAsia="Times New Roman" w:hAnsi="Times New Roman" w:cs="Times New Roman"/>
        </w:rPr>
        <w:t xml:space="preserve">ransnacional, </w:t>
      </w:r>
      <w:r w:rsidR="00A17CC8" w:rsidRPr="00CA29B7">
        <w:rPr>
          <w:rFonts w:ascii="Times New Roman" w:eastAsia="Times New Roman" w:hAnsi="Times New Roman" w:cs="Times New Roman"/>
        </w:rPr>
        <w:t xml:space="preserve">criminalidad, </w:t>
      </w:r>
      <w:r w:rsidR="00DC104E" w:rsidRPr="00CA29B7">
        <w:rPr>
          <w:rFonts w:ascii="Times New Roman" w:eastAsia="Times New Roman" w:hAnsi="Times New Roman" w:cs="Times New Roman"/>
        </w:rPr>
        <w:t>p</w:t>
      </w:r>
      <w:r w:rsidRPr="00CA29B7">
        <w:rPr>
          <w:rFonts w:ascii="Times New Roman" w:eastAsia="Times New Roman" w:hAnsi="Times New Roman" w:cs="Times New Roman"/>
        </w:rPr>
        <w:t xml:space="preserve">az </w:t>
      </w:r>
      <w:r w:rsidR="00DC104E" w:rsidRPr="00CA29B7">
        <w:rPr>
          <w:rFonts w:ascii="Times New Roman" w:eastAsia="Times New Roman" w:hAnsi="Times New Roman" w:cs="Times New Roman"/>
        </w:rPr>
        <w:t>t</w:t>
      </w:r>
      <w:r w:rsidRPr="00CA29B7">
        <w:rPr>
          <w:rFonts w:ascii="Times New Roman" w:eastAsia="Times New Roman" w:hAnsi="Times New Roman" w:cs="Times New Roman"/>
        </w:rPr>
        <w:t xml:space="preserve">otal, seguridad, </w:t>
      </w:r>
      <w:r w:rsidR="00DC104E" w:rsidRPr="00CA29B7">
        <w:rPr>
          <w:rFonts w:ascii="Times New Roman" w:eastAsia="Times New Roman" w:hAnsi="Times New Roman" w:cs="Times New Roman"/>
        </w:rPr>
        <w:t>t</w:t>
      </w:r>
      <w:r w:rsidRPr="00CA29B7">
        <w:rPr>
          <w:rFonts w:ascii="Times New Roman" w:eastAsia="Times New Roman" w:hAnsi="Times New Roman" w:cs="Times New Roman"/>
        </w:rPr>
        <w:t xml:space="preserve">ren de </w:t>
      </w:r>
      <w:r w:rsidR="00A17CC8" w:rsidRPr="00CA29B7">
        <w:rPr>
          <w:rFonts w:ascii="Times New Roman" w:eastAsia="Times New Roman" w:hAnsi="Times New Roman" w:cs="Times New Roman"/>
        </w:rPr>
        <w:t>A</w:t>
      </w:r>
      <w:r w:rsidRPr="00CA29B7">
        <w:rPr>
          <w:rFonts w:ascii="Times New Roman" w:eastAsia="Times New Roman" w:hAnsi="Times New Roman" w:cs="Times New Roman"/>
        </w:rPr>
        <w:t xml:space="preserve">ragua. </w:t>
      </w:r>
    </w:p>
    <w:p w14:paraId="11DE5875" w14:textId="77777777" w:rsidR="00B54876" w:rsidRDefault="00B54876" w:rsidP="00CA29B7">
      <w:pPr>
        <w:jc w:val="both"/>
        <w:rPr>
          <w:rFonts w:ascii="Times New Roman" w:eastAsia="Times New Roman" w:hAnsi="Times New Roman" w:cs="Times New Roman"/>
        </w:rPr>
      </w:pPr>
    </w:p>
    <w:p w14:paraId="470B0669" w14:textId="77777777" w:rsidR="00B54876" w:rsidRDefault="00B54876" w:rsidP="00CA29B7">
      <w:pPr>
        <w:jc w:val="both"/>
        <w:rPr>
          <w:rFonts w:ascii="Times New Roman" w:eastAsia="Times New Roman" w:hAnsi="Times New Roman" w:cs="Times New Roman"/>
        </w:rPr>
      </w:pPr>
    </w:p>
    <w:p w14:paraId="16473D8D" w14:textId="77777777" w:rsidR="00B54876" w:rsidRDefault="00B54876" w:rsidP="00CA29B7">
      <w:pPr>
        <w:jc w:val="both"/>
        <w:rPr>
          <w:rFonts w:ascii="Times New Roman" w:eastAsia="Times New Roman" w:hAnsi="Times New Roman" w:cs="Times New Roman"/>
        </w:rPr>
      </w:pPr>
    </w:p>
    <w:p w14:paraId="7FAC6FD6" w14:textId="77777777" w:rsidR="00B54876" w:rsidRDefault="00B54876" w:rsidP="00CA29B7">
      <w:pPr>
        <w:jc w:val="both"/>
        <w:rPr>
          <w:rFonts w:ascii="Times New Roman" w:eastAsia="Times New Roman" w:hAnsi="Times New Roman" w:cs="Times New Roman"/>
        </w:rPr>
      </w:pPr>
    </w:p>
    <w:p w14:paraId="111FAE8D" w14:textId="5EEA8D8F" w:rsidR="00CA29B7" w:rsidRPr="008D49B4" w:rsidRDefault="00CA29B7" w:rsidP="00CA29B7">
      <w:pPr>
        <w:jc w:val="both"/>
        <w:rPr>
          <w:rFonts w:ascii="Times New Roman" w:eastAsia="Times New Roman" w:hAnsi="Times New Roman" w:cs="Times New Roman"/>
          <w:b/>
          <w:bCs/>
          <w:lang w:val="en-US"/>
        </w:rPr>
      </w:pPr>
      <w:r w:rsidRPr="008D49B4">
        <w:rPr>
          <w:rFonts w:ascii="Times New Roman" w:eastAsia="Times New Roman" w:hAnsi="Times New Roman" w:cs="Times New Roman"/>
          <w:b/>
          <w:bCs/>
          <w:lang w:val="en-US"/>
        </w:rPr>
        <w:lastRenderedPageBreak/>
        <w:t>Abstract</w:t>
      </w:r>
    </w:p>
    <w:p w14:paraId="080C3E89" w14:textId="4ED2E9F5" w:rsidR="00CA29B7" w:rsidRPr="008D49B4" w:rsidRDefault="00CA29B7" w:rsidP="00CA29B7">
      <w:pPr>
        <w:jc w:val="both"/>
        <w:rPr>
          <w:rFonts w:ascii="Times New Roman" w:eastAsia="Times New Roman" w:hAnsi="Times New Roman" w:cs="Times New Roman"/>
          <w:lang w:val="en-US"/>
        </w:rPr>
      </w:pPr>
      <w:r w:rsidRPr="008D49B4">
        <w:rPr>
          <w:rFonts w:ascii="Times New Roman" w:eastAsia="Times New Roman" w:hAnsi="Times New Roman" w:cs="Times New Roman"/>
          <w:lang w:val="en-US"/>
        </w:rPr>
        <w:t xml:space="preserve">Objective: </w:t>
      </w:r>
      <w:r w:rsidR="00B54876" w:rsidRPr="008D49B4">
        <w:rPr>
          <w:rFonts w:ascii="Times New Roman" w:eastAsia="Times New Roman" w:hAnsi="Times New Roman" w:cs="Times New Roman"/>
          <w:lang w:val="en-US"/>
        </w:rPr>
        <w:t>t</w:t>
      </w:r>
      <w:r w:rsidRPr="008D49B4">
        <w:rPr>
          <w:rFonts w:ascii="Times New Roman" w:eastAsia="Times New Roman" w:hAnsi="Times New Roman" w:cs="Times New Roman"/>
          <w:lang w:val="en-US"/>
        </w:rPr>
        <w:t>o analyse how the 'Paz Total</w:t>
      </w:r>
      <w:proofErr w:type="gramStart"/>
      <w:r w:rsidRPr="008D49B4">
        <w:rPr>
          <w:rFonts w:ascii="Times New Roman" w:eastAsia="Times New Roman" w:hAnsi="Times New Roman" w:cs="Times New Roman"/>
          <w:lang w:val="en-US"/>
        </w:rPr>
        <w:t>'  policy</w:t>
      </w:r>
      <w:proofErr w:type="gramEnd"/>
      <w:r w:rsidRPr="008D49B4">
        <w:rPr>
          <w:rFonts w:ascii="Times New Roman" w:eastAsia="Times New Roman" w:hAnsi="Times New Roman" w:cs="Times New Roman"/>
          <w:lang w:val="en-US"/>
        </w:rPr>
        <w:t xml:space="preserve"> of the Gustavo Petro administration integrates the transnational dimension of </w:t>
      </w:r>
      <w:proofErr w:type="spellStart"/>
      <w:r w:rsidRPr="008D49B4">
        <w:rPr>
          <w:rFonts w:ascii="Times New Roman" w:eastAsia="Times New Roman" w:hAnsi="Times New Roman" w:cs="Times New Roman"/>
          <w:lang w:val="en-US"/>
        </w:rPr>
        <w:t>organised</w:t>
      </w:r>
      <w:proofErr w:type="spellEnd"/>
      <w:r w:rsidRPr="008D49B4">
        <w:rPr>
          <w:rFonts w:ascii="Times New Roman" w:eastAsia="Times New Roman" w:hAnsi="Times New Roman" w:cs="Times New Roman"/>
          <w:lang w:val="en-US"/>
        </w:rPr>
        <w:t xml:space="preserve"> crime, using the expansion of the Tren de Aragua as a case study. Methodology: </w:t>
      </w:r>
      <w:r w:rsidR="00B54876" w:rsidRPr="008D49B4">
        <w:rPr>
          <w:rFonts w:ascii="Times New Roman" w:eastAsia="Times New Roman" w:hAnsi="Times New Roman" w:cs="Times New Roman"/>
          <w:lang w:val="en-US"/>
        </w:rPr>
        <w:t>t</w:t>
      </w:r>
      <w:r w:rsidRPr="008D49B4">
        <w:rPr>
          <w:rFonts w:ascii="Times New Roman" w:eastAsia="Times New Roman" w:hAnsi="Times New Roman" w:cs="Times New Roman"/>
          <w:lang w:val="en-US"/>
        </w:rPr>
        <w:t xml:space="preserve">his study employs a qualitative, exploratory research design with a constructivist-interpretative approach and a non-experimental framework. A content analysis, assisted by MAXQDA and R software, was conducted on 24 presidential speeches (2022–2024) and 30 official and journalistic documents. Three complementary techniques were applied: critical discourse analysis, framing analysis and rhetorical analysis. No human participants were involved; the units of analysis were texts selected through theoretical sampling. Results: </w:t>
      </w:r>
      <w:r w:rsidR="00B54876" w:rsidRPr="008D49B4">
        <w:rPr>
          <w:rFonts w:ascii="Times New Roman" w:eastAsia="Times New Roman" w:hAnsi="Times New Roman" w:cs="Times New Roman"/>
          <w:lang w:val="en-US"/>
        </w:rPr>
        <w:t>t</w:t>
      </w:r>
      <w:r w:rsidRPr="008D49B4">
        <w:rPr>
          <w:rFonts w:ascii="Times New Roman" w:eastAsia="Times New Roman" w:hAnsi="Times New Roman" w:cs="Times New Roman"/>
          <w:lang w:val="en-US"/>
        </w:rPr>
        <w:t xml:space="preserve">he findings suggest that the government primarily frames the threat of the Tren de Aragua as an internal matter of citizen security and a subject for negotiation with armed actors. There is minimal reference (6% of codifications) to transnational networks, regional cooperation, or the control of illicit flows. This omission coexists with a discourse </w:t>
      </w:r>
      <w:proofErr w:type="spellStart"/>
      <w:r w:rsidRPr="008D49B4">
        <w:rPr>
          <w:rFonts w:ascii="Times New Roman" w:eastAsia="Times New Roman" w:hAnsi="Times New Roman" w:cs="Times New Roman"/>
          <w:lang w:val="en-US"/>
        </w:rPr>
        <w:t>centred</w:t>
      </w:r>
      <w:proofErr w:type="spellEnd"/>
      <w:r w:rsidRPr="008D49B4">
        <w:rPr>
          <w:rFonts w:ascii="Times New Roman" w:eastAsia="Times New Roman" w:hAnsi="Times New Roman" w:cs="Times New Roman"/>
          <w:lang w:val="en-US"/>
        </w:rPr>
        <w:t xml:space="preserve"> on sovereignty and peace that underestimates external constraints. Consequently, the strategy exhibits significant gaps in international coordination and lacks specific mechanisms to address cross-border crime. Conclusions: '</w:t>
      </w:r>
      <w:proofErr w:type="spellStart"/>
      <w:r w:rsidR="00B54876" w:rsidRPr="008D49B4">
        <w:rPr>
          <w:rFonts w:ascii="Times New Roman" w:eastAsia="Times New Roman" w:hAnsi="Times New Roman" w:cs="Times New Roman"/>
          <w:lang w:val="en-US"/>
        </w:rPr>
        <w:t>p</w:t>
      </w:r>
      <w:r w:rsidRPr="008D49B4">
        <w:rPr>
          <w:rFonts w:ascii="Times New Roman" w:eastAsia="Times New Roman" w:hAnsi="Times New Roman" w:cs="Times New Roman"/>
          <w:lang w:val="en-US"/>
        </w:rPr>
        <w:t>az</w:t>
      </w:r>
      <w:proofErr w:type="spellEnd"/>
      <w:r w:rsidRPr="008D49B4">
        <w:rPr>
          <w:rFonts w:ascii="Times New Roman" w:eastAsia="Times New Roman" w:hAnsi="Times New Roman" w:cs="Times New Roman"/>
          <w:lang w:val="en-US"/>
        </w:rPr>
        <w:t xml:space="preserve"> </w:t>
      </w:r>
      <w:r w:rsidR="00B54876" w:rsidRPr="008D49B4">
        <w:rPr>
          <w:rFonts w:ascii="Times New Roman" w:eastAsia="Times New Roman" w:hAnsi="Times New Roman" w:cs="Times New Roman"/>
          <w:lang w:val="en-US"/>
        </w:rPr>
        <w:t>t</w:t>
      </w:r>
      <w:r w:rsidRPr="008D49B4">
        <w:rPr>
          <w:rFonts w:ascii="Times New Roman" w:eastAsia="Times New Roman" w:hAnsi="Times New Roman" w:cs="Times New Roman"/>
          <w:lang w:val="en-US"/>
        </w:rPr>
        <w:t xml:space="preserve">otal', as currently formulated, risks reproducing the 'domestic </w:t>
      </w:r>
      <w:proofErr w:type="spellStart"/>
      <w:r w:rsidRPr="008D49B4">
        <w:rPr>
          <w:rFonts w:ascii="Times New Roman" w:eastAsia="Times New Roman" w:hAnsi="Times New Roman" w:cs="Times New Roman"/>
          <w:lang w:val="en-US"/>
        </w:rPr>
        <w:t>bias'</w:t>
      </w:r>
      <w:proofErr w:type="spellEnd"/>
      <w:r w:rsidRPr="008D49B4">
        <w:rPr>
          <w:rFonts w:ascii="Times New Roman" w:eastAsia="Times New Roman" w:hAnsi="Times New Roman" w:cs="Times New Roman"/>
          <w:lang w:val="en-US"/>
        </w:rPr>
        <w:t xml:space="preserve"> identified by neoclassical realism, whereby internal capabilities are overvalued and systemic pressures are underestimated. Incorporating multi-level diagnostics and regional alliances is essential for the </w:t>
      </w:r>
      <w:proofErr w:type="spellStart"/>
      <w:r w:rsidRPr="008D49B4">
        <w:rPr>
          <w:rFonts w:ascii="Times New Roman" w:eastAsia="Times New Roman" w:hAnsi="Times New Roman" w:cs="Times New Roman"/>
          <w:lang w:val="en-US"/>
        </w:rPr>
        <w:t>programme</w:t>
      </w:r>
      <w:proofErr w:type="spellEnd"/>
      <w:r w:rsidRPr="008D49B4">
        <w:rPr>
          <w:rFonts w:ascii="Times New Roman" w:eastAsia="Times New Roman" w:hAnsi="Times New Roman" w:cs="Times New Roman"/>
          <w:lang w:val="en-US"/>
        </w:rPr>
        <w:t xml:space="preserve"> to advance effectively in the context of </w:t>
      </w:r>
      <w:proofErr w:type="spellStart"/>
      <w:r w:rsidRPr="008D49B4">
        <w:rPr>
          <w:rFonts w:ascii="Times New Roman" w:eastAsia="Times New Roman" w:hAnsi="Times New Roman" w:cs="Times New Roman"/>
          <w:lang w:val="en-US"/>
        </w:rPr>
        <w:t>globalised</w:t>
      </w:r>
      <w:proofErr w:type="spellEnd"/>
      <w:r w:rsidRPr="008D49B4">
        <w:rPr>
          <w:rFonts w:ascii="Times New Roman" w:eastAsia="Times New Roman" w:hAnsi="Times New Roman" w:cs="Times New Roman"/>
          <w:lang w:val="en-US"/>
        </w:rPr>
        <w:t xml:space="preserve"> criminality.</w:t>
      </w:r>
    </w:p>
    <w:p w14:paraId="65C37960" w14:textId="2C19D812" w:rsidR="00511341" w:rsidRPr="008D49B4" w:rsidRDefault="00CA29B7" w:rsidP="00CA29B7">
      <w:pPr>
        <w:jc w:val="both"/>
        <w:rPr>
          <w:rFonts w:ascii="Times New Roman" w:eastAsia="Times New Roman" w:hAnsi="Times New Roman" w:cs="Times New Roman"/>
          <w:lang w:val="en-US"/>
        </w:rPr>
      </w:pPr>
      <w:r w:rsidRPr="008D49B4">
        <w:rPr>
          <w:rFonts w:ascii="Times New Roman" w:eastAsia="Times New Roman" w:hAnsi="Times New Roman" w:cs="Times New Roman"/>
          <w:b/>
          <w:bCs/>
          <w:lang w:val="en-US"/>
        </w:rPr>
        <w:t>Keywords: </w:t>
      </w:r>
      <w:r w:rsidRPr="008D49B4">
        <w:rPr>
          <w:rFonts w:ascii="Times New Roman" w:eastAsia="Times New Roman" w:hAnsi="Times New Roman" w:cs="Times New Roman"/>
          <w:lang w:val="en-US"/>
        </w:rPr>
        <w:t xml:space="preserve">transnational organized crime, criminality, </w:t>
      </w:r>
      <w:proofErr w:type="spellStart"/>
      <w:r w:rsidRPr="008D49B4">
        <w:rPr>
          <w:rFonts w:ascii="Times New Roman" w:eastAsia="Times New Roman" w:hAnsi="Times New Roman" w:cs="Times New Roman"/>
          <w:lang w:val="en-US"/>
        </w:rPr>
        <w:t>paz</w:t>
      </w:r>
      <w:proofErr w:type="spellEnd"/>
      <w:r w:rsidRPr="008D49B4">
        <w:rPr>
          <w:rFonts w:ascii="Times New Roman" w:eastAsia="Times New Roman" w:hAnsi="Times New Roman" w:cs="Times New Roman"/>
          <w:lang w:val="en-US"/>
        </w:rPr>
        <w:t xml:space="preserve"> total, security, </w:t>
      </w:r>
      <w:proofErr w:type="spellStart"/>
      <w:r w:rsidRPr="008D49B4">
        <w:rPr>
          <w:rFonts w:ascii="Times New Roman" w:eastAsia="Times New Roman" w:hAnsi="Times New Roman" w:cs="Times New Roman"/>
          <w:lang w:val="en-US"/>
        </w:rPr>
        <w:t>tren</w:t>
      </w:r>
      <w:proofErr w:type="spellEnd"/>
      <w:r w:rsidRPr="008D49B4">
        <w:rPr>
          <w:rFonts w:ascii="Times New Roman" w:eastAsia="Times New Roman" w:hAnsi="Times New Roman" w:cs="Times New Roman"/>
          <w:lang w:val="en-US"/>
        </w:rPr>
        <w:t xml:space="preserve"> de Aragua.</w:t>
      </w:r>
    </w:p>
    <w:p w14:paraId="2D24C8CC" w14:textId="05C1935B" w:rsidR="0044203F" w:rsidRPr="00ED2EFB" w:rsidRDefault="00586DF7">
      <w:pPr>
        <w:spacing w:after="0" w:line="240" w:lineRule="auto"/>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Introducción</w:t>
      </w:r>
    </w:p>
    <w:p w14:paraId="7FA41CF0" w14:textId="77777777" w:rsidR="00511341" w:rsidRDefault="00511341">
      <w:pPr>
        <w:spacing w:after="0" w:line="360" w:lineRule="auto"/>
        <w:jc w:val="both"/>
        <w:rPr>
          <w:rFonts w:ascii="Times New Roman" w:eastAsia="Times New Roman" w:hAnsi="Times New Roman" w:cs="Times New Roman"/>
          <w:b/>
          <w:bCs/>
          <w:sz w:val="24"/>
          <w:szCs w:val="24"/>
        </w:rPr>
      </w:pPr>
    </w:p>
    <w:p w14:paraId="2D24C8CE" w14:textId="45CA5ED0" w:rsidR="0044203F" w:rsidRPr="00ED2EFB" w:rsidRDefault="00586DF7" w:rsidP="0051134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La propuesta política de la Paz Total, impulsada por el gobierno de Gustavo Petro, surge como una iniciativa ambiciosa para abordar más de 6 décadas de conflicto armado que han derivado en violencia estructural</w:t>
      </w:r>
      <w:r w:rsidR="003733E1">
        <w:rPr>
          <w:rFonts w:ascii="Times New Roman" w:eastAsia="Times New Roman" w:hAnsi="Times New Roman" w:cs="Times New Roman"/>
          <w:sz w:val="24"/>
          <w:szCs w:val="24"/>
        </w:rPr>
        <w:t>,</w:t>
      </w:r>
      <w:r w:rsidRPr="00ED2EFB">
        <w:rPr>
          <w:rFonts w:ascii="Times New Roman" w:eastAsia="Times New Roman" w:hAnsi="Times New Roman" w:cs="Times New Roman"/>
          <w:sz w:val="24"/>
          <w:szCs w:val="24"/>
        </w:rPr>
        <w:t xml:space="preserve"> desigualdades históricas en Colombia</w:t>
      </w:r>
      <w:r w:rsidR="003733E1">
        <w:rPr>
          <w:rFonts w:ascii="Times New Roman" w:eastAsia="Times New Roman" w:hAnsi="Times New Roman" w:cs="Times New Roman"/>
          <w:sz w:val="24"/>
          <w:szCs w:val="24"/>
        </w:rPr>
        <w:t xml:space="preserve"> y más de </w:t>
      </w:r>
      <w:r w:rsidR="00AF7E05">
        <w:rPr>
          <w:rFonts w:ascii="Times New Roman" w:eastAsia="Times New Roman" w:hAnsi="Times New Roman" w:cs="Times New Roman"/>
          <w:sz w:val="24"/>
          <w:szCs w:val="24"/>
        </w:rPr>
        <w:t xml:space="preserve">387.577 </w:t>
      </w:r>
      <w:r w:rsidR="00197FC7" w:rsidRPr="00197FC7">
        <w:rPr>
          <w:rFonts w:ascii="Times New Roman" w:eastAsia="Times New Roman" w:hAnsi="Times New Roman" w:cs="Times New Roman"/>
          <w:sz w:val="24"/>
          <w:szCs w:val="24"/>
        </w:rPr>
        <w:t>(Centro Nacional de Memoria Histórica, 2025)</w:t>
      </w:r>
      <w:r w:rsidRPr="00ED2EFB">
        <w:rPr>
          <w:rFonts w:ascii="Times New Roman" w:eastAsia="Times New Roman" w:hAnsi="Times New Roman" w:cs="Times New Roman"/>
          <w:sz w:val="24"/>
          <w:szCs w:val="24"/>
        </w:rPr>
        <w:t xml:space="preserve">. Desde su conceptualización, esta política se ha presentado como un enfoque integral que busca no solo negociar con actores armados tradicionales sino también desarticular estructuras criminales, a la vez que fomenta una reconciliación social con medidas inclusivas de justicia y desarrollo con enfoque territorial y reconociendo los impactos desproporcionados del conflicto.  </w:t>
      </w:r>
    </w:p>
    <w:p w14:paraId="7012E3F6" w14:textId="00D516DB" w:rsidR="00CA29B7" w:rsidRDefault="008D49B4">
      <w:pPr>
        <w:spacing w:after="0" w:line="360" w:lineRule="auto"/>
        <w:ind w:firstLine="709"/>
        <w:jc w:val="both"/>
        <w:rPr>
          <w:rFonts w:ascii="Times New Roman" w:eastAsia="Times New Roman" w:hAnsi="Times New Roman" w:cs="Times New Roman"/>
          <w:sz w:val="24"/>
          <w:szCs w:val="24"/>
        </w:rPr>
      </w:pPr>
      <w:r w:rsidRPr="008D49B4">
        <w:rPr>
          <w:rFonts w:ascii="Times New Roman" w:eastAsia="Times New Roman" w:hAnsi="Times New Roman" w:cs="Times New Roman"/>
          <w:sz w:val="24"/>
          <w:szCs w:val="24"/>
        </w:rPr>
        <w:t xml:space="preserve">La Paz Total trasciende el legado del Acuerdo de 2016 al instaurar una estrategia de negociación </w:t>
      </w:r>
      <w:proofErr w:type="spellStart"/>
      <w:r w:rsidRPr="008D49B4">
        <w:rPr>
          <w:rFonts w:ascii="Times New Roman" w:eastAsia="Times New Roman" w:hAnsi="Times New Roman" w:cs="Times New Roman"/>
          <w:sz w:val="24"/>
          <w:szCs w:val="24"/>
        </w:rPr>
        <w:t>multiactor</w:t>
      </w:r>
      <w:proofErr w:type="spellEnd"/>
      <w:r w:rsidRPr="008D49B4">
        <w:rPr>
          <w:rFonts w:ascii="Times New Roman" w:eastAsia="Times New Roman" w:hAnsi="Times New Roman" w:cs="Times New Roman"/>
          <w:sz w:val="24"/>
          <w:szCs w:val="24"/>
        </w:rPr>
        <w:t>. Su innovación consiste en gestionar al mismo tiempo agendas diferenciadas: el reconocimiento del estatus político en las mesas con el ELN, junto con mecanismos de sometimiento judicial para estructuras armadas de alto impacto, como el Clan del Golfo.</w:t>
      </w:r>
      <w:r w:rsidR="00586DF7" w:rsidRPr="00ED2EFB">
        <w:rPr>
          <w:rFonts w:ascii="Times New Roman" w:eastAsia="Times New Roman" w:hAnsi="Times New Roman" w:cs="Times New Roman"/>
          <w:sz w:val="24"/>
          <w:szCs w:val="24"/>
        </w:rPr>
        <w:t xml:space="preserve"> </w:t>
      </w:r>
    </w:p>
    <w:p w14:paraId="2FDB1DD3" w14:textId="77777777" w:rsidR="00CA29B7" w:rsidRDefault="00CA29B7">
      <w:pPr>
        <w:spacing w:after="0" w:line="360" w:lineRule="auto"/>
        <w:ind w:firstLine="709"/>
        <w:jc w:val="both"/>
        <w:rPr>
          <w:rFonts w:ascii="Times New Roman" w:eastAsia="Times New Roman" w:hAnsi="Times New Roman" w:cs="Times New Roman"/>
          <w:sz w:val="24"/>
          <w:szCs w:val="24"/>
        </w:rPr>
      </w:pPr>
    </w:p>
    <w:p w14:paraId="0DF1B74E" w14:textId="77777777" w:rsidR="00CA29B7" w:rsidRDefault="00CA29B7">
      <w:pPr>
        <w:spacing w:after="0" w:line="360" w:lineRule="auto"/>
        <w:ind w:firstLine="709"/>
        <w:jc w:val="both"/>
        <w:rPr>
          <w:rFonts w:ascii="Times New Roman" w:eastAsia="Times New Roman" w:hAnsi="Times New Roman" w:cs="Times New Roman"/>
          <w:sz w:val="24"/>
          <w:szCs w:val="24"/>
        </w:rPr>
      </w:pPr>
    </w:p>
    <w:p w14:paraId="2D24C8CF" w14:textId="0413FD86"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Esta iniciativa fue formalizada en la Ley 2272 de 2022, que estableció el marco normativo para estas negociaciones. Sin embargo, su ejecución ha estado marcada por la expansión de actores criminales transnacionales, como el Tren de Aragua, una organización originada en Venezuela</w:t>
      </w:r>
      <w:r w:rsidR="00710D92">
        <w:rPr>
          <w:rFonts w:ascii="Times New Roman" w:eastAsia="Times New Roman" w:hAnsi="Times New Roman" w:cs="Times New Roman"/>
          <w:sz w:val="24"/>
          <w:szCs w:val="24"/>
        </w:rPr>
        <w:t xml:space="preserve"> que ha logrado transformar el modelo de </w:t>
      </w:r>
      <w:proofErr w:type="spellStart"/>
      <w:r w:rsidR="00710D92">
        <w:rPr>
          <w:rFonts w:ascii="Times New Roman" w:eastAsia="Times New Roman" w:hAnsi="Times New Roman" w:cs="Times New Roman"/>
          <w:sz w:val="24"/>
          <w:szCs w:val="24"/>
        </w:rPr>
        <w:t>mega</w:t>
      </w:r>
      <w:r w:rsidR="008A174B">
        <w:rPr>
          <w:rFonts w:ascii="Times New Roman" w:eastAsia="Times New Roman" w:hAnsi="Times New Roman" w:cs="Times New Roman"/>
          <w:sz w:val="24"/>
          <w:szCs w:val="24"/>
        </w:rPr>
        <w:t>banda</w:t>
      </w:r>
      <w:proofErr w:type="spellEnd"/>
      <w:r w:rsidR="008A174B">
        <w:rPr>
          <w:rFonts w:ascii="Times New Roman" w:eastAsia="Times New Roman" w:hAnsi="Times New Roman" w:cs="Times New Roman"/>
          <w:sz w:val="24"/>
          <w:szCs w:val="24"/>
        </w:rPr>
        <w:t xml:space="preserve"> a una estructura de red flexible capaz de colonizar mercados ilícitos locales mediante un sistema de franquicias criminales (R</w:t>
      </w:r>
      <w:r w:rsidR="0005093B">
        <w:rPr>
          <w:rFonts w:ascii="Times New Roman" w:eastAsia="Times New Roman" w:hAnsi="Times New Roman" w:cs="Times New Roman"/>
          <w:sz w:val="24"/>
          <w:szCs w:val="24"/>
        </w:rPr>
        <w:t>ís</w:t>
      </w:r>
      <w:r w:rsidR="008A174B">
        <w:rPr>
          <w:rFonts w:ascii="Times New Roman" w:eastAsia="Times New Roman" w:hAnsi="Times New Roman" w:cs="Times New Roman"/>
          <w:sz w:val="24"/>
          <w:szCs w:val="24"/>
        </w:rPr>
        <w:t>quez,2023)</w:t>
      </w:r>
      <w:r w:rsidRPr="00ED2EFB">
        <w:rPr>
          <w:rFonts w:ascii="Times New Roman" w:eastAsia="Times New Roman" w:hAnsi="Times New Roman" w:cs="Times New Roman"/>
          <w:sz w:val="24"/>
          <w:szCs w:val="24"/>
        </w:rPr>
        <w:t>, que representa una amenaza creciente para la seguridad nacional y regional</w:t>
      </w:r>
      <w:r w:rsidR="002D5E34">
        <w:rPr>
          <w:rFonts w:ascii="Times New Roman" w:eastAsia="Times New Roman" w:hAnsi="Times New Roman" w:cs="Times New Roman"/>
          <w:sz w:val="24"/>
          <w:szCs w:val="24"/>
        </w:rPr>
        <w:t xml:space="preserve"> </w:t>
      </w:r>
      <w:r w:rsidR="002D5E34" w:rsidRPr="0048793A">
        <w:rPr>
          <w:rFonts w:ascii="Times New Roman" w:eastAsia="Times New Roman" w:hAnsi="Times New Roman" w:cs="Times New Roman"/>
          <w:sz w:val="24"/>
          <w:szCs w:val="24"/>
        </w:rPr>
        <w:t>(Aponte y Cote, 2025)</w:t>
      </w:r>
      <w:r w:rsidRPr="00ED2EFB">
        <w:rPr>
          <w:rFonts w:ascii="Times New Roman" w:eastAsia="Times New Roman" w:hAnsi="Times New Roman" w:cs="Times New Roman"/>
          <w:sz w:val="24"/>
          <w:szCs w:val="24"/>
        </w:rPr>
        <w:t>. Este grupo criminal ilustra cómo las dinámicas del Crimen Organizado Transnacional –COT-, potenciadas por la globalización, desafían las políticas de seguridad convencionales y agravan las tensiones en contextos de gobernanza frágil</w:t>
      </w:r>
      <w:r w:rsidR="00F34DC8">
        <w:rPr>
          <w:rFonts w:ascii="Times New Roman" w:eastAsia="Times New Roman" w:hAnsi="Times New Roman" w:cs="Times New Roman"/>
          <w:sz w:val="24"/>
          <w:szCs w:val="24"/>
        </w:rPr>
        <w:t xml:space="preserve"> como en el caso colombiano que </w:t>
      </w:r>
      <w:r w:rsidR="006F5574">
        <w:rPr>
          <w:rFonts w:ascii="Times New Roman" w:eastAsia="Times New Roman" w:hAnsi="Times New Roman" w:cs="Times New Roman"/>
          <w:sz w:val="24"/>
          <w:szCs w:val="24"/>
        </w:rPr>
        <w:t xml:space="preserve">se entrelaza las dinámicas del conflicto armando y la criminalidad organizada en </w:t>
      </w:r>
      <w:r w:rsidR="008636F2">
        <w:rPr>
          <w:rFonts w:ascii="Times New Roman" w:eastAsia="Times New Roman" w:hAnsi="Times New Roman" w:cs="Times New Roman"/>
          <w:sz w:val="24"/>
          <w:szCs w:val="24"/>
        </w:rPr>
        <w:t>las zonas urbanas y rurales</w:t>
      </w:r>
      <w:r w:rsidR="008D7EDF">
        <w:rPr>
          <w:rFonts w:ascii="Times New Roman" w:eastAsia="Times New Roman" w:hAnsi="Times New Roman" w:cs="Times New Roman"/>
          <w:sz w:val="24"/>
          <w:szCs w:val="24"/>
        </w:rPr>
        <w:t xml:space="preserve"> </w:t>
      </w:r>
      <w:r w:rsidR="008D7EDF" w:rsidRPr="008D7EDF">
        <w:rPr>
          <w:rFonts w:ascii="Times New Roman" w:eastAsia="Times New Roman" w:hAnsi="Times New Roman" w:cs="Times New Roman"/>
          <w:sz w:val="24"/>
          <w:szCs w:val="24"/>
        </w:rPr>
        <w:t>(Defensoría del Pueblo de Colombia, 2025)</w:t>
      </w:r>
      <w:r w:rsidRPr="00ED2EFB">
        <w:rPr>
          <w:rFonts w:ascii="Times New Roman" w:eastAsia="Times New Roman" w:hAnsi="Times New Roman" w:cs="Times New Roman"/>
          <w:sz w:val="24"/>
          <w:szCs w:val="24"/>
        </w:rPr>
        <w:t>.</w:t>
      </w:r>
      <w:r w:rsidR="00E44C79">
        <w:rPr>
          <w:rFonts w:ascii="Times New Roman" w:eastAsia="Times New Roman" w:hAnsi="Times New Roman" w:cs="Times New Roman"/>
          <w:sz w:val="24"/>
          <w:szCs w:val="24"/>
        </w:rPr>
        <w:t xml:space="preserve"> </w:t>
      </w:r>
    </w:p>
    <w:p w14:paraId="2D24C8D0" w14:textId="0EBB83F0"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Este artículo tiene como objetivo analizar, desde el marco teórico del realismo neoclásico, cómo los </w:t>
      </w:r>
      <w:r w:rsidR="008D49B4">
        <w:rPr>
          <w:rFonts w:ascii="Times New Roman" w:eastAsia="Times New Roman" w:hAnsi="Times New Roman" w:cs="Times New Roman"/>
          <w:sz w:val="24"/>
          <w:szCs w:val="24"/>
        </w:rPr>
        <w:t>obstáculos</w:t>
      </w:r>
      <w:r w:rsidRPr="00ED2EFB">
        <w:rPr>
          <w:rFonts w:ascii="Times New Roman" w:eastAsia="Times New Roman" w:hAnsi="Times New Roman" w:cs="Times New Roman"/>
          <w:sz w:val="24"/>
          <w:szCs w:val="24"/>
        </w:rPr>
        <w:t xml:space="preserve"> internos y </w:t>
      </w:r>
      <w:r w:rsidR="008D49B4">
        <w:rPr>
          <w:rFonts w:ascii="Times New Roman" w:eastAsia="Times New Roman" w:hAnsi="Times New Roman" w:cs="Times New Roman"/>
          <w:sz w:val="24"/>
          <w:szCs w:val="24"/>
        </w:rPr>
        <w:t xml:space="preserve">las dinámicas globales </w:t>
      </w:r>
      <w:r w:rsidRPr="00ED2EFB">
        <w:rPr>
          <w:rFonts w:ascii="Times New Roman" w:eastAsia="Times New Roman" w:hAnsi="Times New Roman" w:cs="Times New Roman"/>
          <w:sz w:val="24"/>
          <w:szCs w:val="24"/>
        </w:rPr>
        <w:t>afectan la capacidad del gobierno colombiano para implementar su política de Paz Total frente a la emergencia y expansión del COT como el Tren de Aragua. Además, se busca explorar cómo el discurso presidencial legitima esta política en un entorno caracterizado por narrativas emocionales y polarización social.</w:t>
      </w:r>
    </w:p>
    <w:p w14:paraId="577E5A67" w14:textId="255F047A" w:rsidR="007D7C61" w:rsidRPr="00ED2EFB" w:rsidRDefault="00586DF7" w:rsidP="007D7C6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De esta manera, el análisis de esta interacción entre amenazas transnacionales y políticas gubernamentales es crucial para comprender las limitaciones estructurales y discursivas de la Paz Total. Pues si bien, la expansión del Tren de Aragua no solo evidencia las fallas en la cooperación regional, sino que también subraya la necesidad de integrar factores externos en las estrategias de seguridad nacional. Este estudio aporta una perspectiva crítica que combina análisis discursivo y estudios de seguridad internacional para examinar la complejidad del COT en Colombia.</w:t>
      </w:r>
    </w:p>
    <w:p w14:paraId="7FC91850" w14:textId="32E0FAC4" w:rsidR="00CA29B7" w:rsidRDefault="008D49B4">
      <w:pPr>
        <w:spacing w:after="0" w:line="360" w:lineRule="auto"/>
        <w:ind w:firstLine="709"/>
        <w:jc w:val="both"/>
        <w:rPr>
          <w:rFonts w:ascii="Times New Roman" w:eastAsia="Times New Roman" w:hAnsi="Times New Roman" w:cs="Times New Roman"/>
          <w:sz w:val="24"/>
          <w:szCs w:val="24"/>
        </w:rPr>
      </w:pPr>
      <w:r w:rsidRPr="008D49B4">
        <w:rPr>
          <w:rFonts w:ascii="Times New Roman" w:eastAsia="Times New Roman" w:hAnsi="Times New Roman" w:cs="Times New Roman"/>
          <w:sz w:val="24"/>
          <w:szCs w:val="24"/>
        </w:rPr>
        <w:t>Mediante un diseño cualitativo de estudio de caso, este trabajo examina el discurso ejecutivo y triangula información de registros documentales y prensa.</w:t>
      </w:r>
      <w:r w:rsidR="00586DF7" w:rsidRPr="00ED2EFB">
        <w:rPr>
          <w:rFonts w:ascii="Times New Roman" w:eastAsia="Times New Roman" w:hAnsi="Times New Roman" w:cs="Times New Roman"/>
          <w:sz w:val="24"/>
          <w:szCs w:val="24"/>
        </w:rPr>
        <w:t xml:space="preserve"> Este enfoque permite identificar cómo las narrativas gubernamentales moldean la percepción pública de la Paz Total y cómo los desafíos externos, como el COT, condicionan su implementación. De esta manera, el texto se organiza en cinco secciones principales. Primero, examina el marco conceptual del realismo neoclásico aplicado al estudio. La segunda sección, describe la metodología utilizada, que incluye un enfoque cualitativo y técnicas de análisis de contenido. En la tercera sección, se presentan los resultados, que analizan la Ley de Paz Total y su impacto en la seguridad frente a organizaciones como el Tren de Aragua. </w:t>
      </w:r>
    </w:p>
    <w:p w14:paraId="2D24C8D2" w14:textId="0D11D29A"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Posteriormente, en la sección de discusión se profundiza en la relación entre discurso presidencial, percepción pública y desafíos transnacionales. Finalmente, las conclusiones ofrecen reflexiones sobre las implicaciones de estos hallazgos para la seguridad regional y la consolidación de la paz en Colombia.</w:t>
      </w:r>
    </w:p>
    <w:p w14:paraId="2D24C8D3" w14:textId="77777777" w:rsidR="0044203F" w:rsidRPr="00ED2EFB" w:rsidRDefault="0044203F">
      <w:pPr>
        <w:spacing w:after="0" w:line="360" w:lineRule="auto"/>
        <w:ind w:firstLine="709"/>
        <w:jc w:val="both"/>
        <w:rPr>
          <w:rFonts w:ascii="Times New Roman" w:eastAsia="Times New Roman" w:hAnsi="Times New Roman" w:cs="Times New Roman"/>
          <w:sz w:val="24"/>
          <w:szCs w:val="24"/>
        </w:rPr>
      </w:pPr>
    </w:p>
    <w:p w14:paraId="2D24C8D5" w14:textId="11872D28" w:rsidR="0044203F" w:rsidRPr="00ED2EFB" w:rsidRDefault="00586DF7">
      <w:pPr>
        <w:spacing w:after="0" w:line="360" w:lineRule="auto"/>
        <w:jc w:val="both"/>
        <w:rPr>
          <w:rFonts w:ascii="Times New Roman" w:eastAsia="Times New Roman" w:hAnsi="Times New Roman" w:cs="Times New Roman"/>
          <w:b/>
          <w:bCs/>
          <w:i/>
          <w:iCs/>
          <w:sz w:val="24"/>
          <w:szCs w:val="24"/>
        </w:rPr>
      </w:pPr>
      <w:r w:rsidRPr="000244F5">
        <w:rPr>
          <w:rFonts w:ascii="Times New Roman" w:eastAsia="Times New Roman" w:hAnsi="Times New Roman" w:cs="Times New Roman"/>
          <w:b/>
          <w:bCs/>
          <w:sz w:val="24"/>
          <w:szCs w:val="24"/>
        </w:rPr>
        <w:t xml:space="preserve">El realismo neoclásico desde el sur global </w:t>
      </w:r>
    </w:p>
    <w:p w14:paraId="2D24C8D6" w14:textId="5963E395" w:rsidR="0044203F" w:rsidRPr="00ED2EFB" w:rsidRDefault="00586DF7" w:rsidP="00511341">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sz w:val="24"/>
          <w:szCs w:val="24"/>
        </w:rPr>
        <w:t xml:space="preserve">El realismo neoclásico surge como una evolución a las limitaciones que presentaban el realismo clásico y el neorrealismo. El termino fue acuñado por </w:t>
      </w:r>
      <w:proofErr w:type="spellStart"/>
      <w:r w:rsidRPr="00ED2EFB">
        <w:rPr>
          <w:rFonts w:ascii="Times New Roman" w:eastAsia="Times New Roman" w:hAnsi="Times New Roman" w:cs="Times New Roman"/>
          <w:sz w:val="24"/>
          <w:szCs w:val="24"/>
        </w:rPr>
        <w:t>Guideon</w:t>
      </w:r>
      <w:proofErr w:type="spellEnd"/>
      <w:r w:rsidRPr="00ED2EFB">
        <w:rPr>
          <w:rFonts w:ascii="Times New Roman" w:eastAsia="Times New Roman" w:hAnsi="Times New Roman" w:cs="Times New Roman"/>
          <w:sz w:val="24"/>
          <w:szCs w:val="24"/>
        </w:rPr>
        <w:t xml:space="preserve"> Rose </w:t>
      </w:r>
      <w:r w:rsidRPr="00ED2EFB">
        <w:rPr>
          <w:rFonts w:ascii="Times New Roman" w:eastAsia="Times New Roman" w:hAnsi="Times New Roman" w:cs="Times New Roman"/>
          <w:color w:val="000000"/>
          <w:sz w:val="24"/>
          <w:szCs w:val="24"/>
        </w:rPr>
        <w:t>(1998) con su artículo en</w:t>
      </w:r>
      <w:r w:rsidRPr="00ED2EFB">
        <w:rPr>
          <w:rFonts w:ascii="Times New Roman" w:eastAsia="Times New Roman" w:hAnsi="Times New Roman" w:cs="Times New Roman"/>
          <w:i/>
          <w:iCs/>
          <w:color w:val="000000"/>
          <w:sz w:val="24"/>
          <w:szCs w:val="24"/>
        </w:rPr>
        <w:t xml:space="preserve"> </w:t>
      </w:r>
      <w:r w:rsidR="006A77A5" w:rsidRPr="00ED2EFB">
        <w:rPr>
          <w:rFonts w:ascii="Times New Roman" w:eastAsia="Times New Roman" w:hAnsi="Times New Roman" w:cs="Times New Roman"/>
          <w:i/>
          <w:iCs/>
          <w:color w:val="000000"/>
          <w:sz w:val="24"/>
          <w:szCs w:val="24"/>
        </w:rPr>
        <w:t>“</w:t>
      </w:r>
      <w:r w:rsidRPr="000244F5">
        <w:rPr>
          <w:rFonts w:ascii="Times New Roman" w:eastAsia="Times New Roman" w:hAnsi="Times New Roman" w:cs="Times New Roman"/>
          <w:color w:val="000000"/>
          <w:sz w:val="24"/>
          <w:szCs w:val="24"/>
        </w:rPr>
        <w:t xml:space="preserve">Wold </w:t>
      </w:r>
      <w:proofErr w:type="spellStart"/>
      <w:r w:rsidRPr="000244F5">
        <w:rPr>
          <w:rFonts w:ascii="Times New Roman" w:eastAsia="Times New Roman" w:hAnsi="Times New Roman" w:cs="Times New Roman"/>
          <w:color w:val="000000"/>
          <w:sz w:val="24"/>
          <w:szCs w:val="24"/>
        </w:rPr>
        <w:t>Politics</w:t>
      </w:r>
      <w:proofErr w:type="spellEnd"/>
      <w:r w:rsidRPr="000244F5">
        <w:rPr>
          <w:rFonts w:ascii="Times New Roman" w:eastAsia="Times New Roman" w:hAnsi="Times New Roman" w:cs="Times New Roman"/>
          <w:color w:val="000000"/>
          <w:sz w:val="24"/>
          <w:szCs w:val="24"/>
        </w:rPr>
        <w:t xml:space="preserve"> </w:t>
      </w:r>
      <w:r w:rsidRPr="00ED2EFB">
        <w:rPr>
          <w:rFonts w:ascii="Times New Roman" w:eastAsia="Times New Roman" w:hAnsi="Times New Roman" w:cs="Times New Roman"/>
          <w:color w:val="000000"/>
          <w:sz w:val="24"/>
          <w:szCs w:val="24"/>
        </w:rPr>
        <w:t xml:space="preserve">titulado </w:t>
      </w:r>
      <w:proofErr w:type="spellStart"/>
      <w:r w:rsidRPr="000244F5">
        <w:rPr>
          <w:rFonts w:ascii="Times New Roman" w:eastAsia="Times New Roman" w:hAnsi="Times New Roman" w:cs="Times New Roman"/>
          <w:color w:val="000000"/>
          <w:sz w:val="24"/>
          <w:szCs w:val="24"/>
        </w:rPr>
        <w:t>Neoclassical</w:t>
      </w:r>
      <w:proofErr w:type="spellEnd"/>
      <w:r w:rsidRPr="000244F5">
        <w:rPr>
          <w:rFonts w:ascii="Times New Roman" w:eastAsia="Times New Roman" w:hAnsi="Times New Roman" w:cs="Times New Roman"/>
          <w:color w:val="000000"/>
          <w:sz w:val="24"/>
          <w:szCs w:val="24"/>
        </w:rPr>
        <w:t xml:space="preserve"> </w:t>
      </w:r>
      <w:proofErr w:type="spellStart"/>
      <w:r w:rsidRPr="000244F5">
        <w:rPr>
          <w:rFonts w:ascii="Times New Roman" w:eastAsia="Times New Roman" w:hAnsi="Times New Roman" w:cs="Times New Roman"/>
          <w:color w:val="000000"/>
          <w:sz w:val="24"/>
          <w:szCs w:val="24"/>
        </w:rPr>
        <w:t>realism</w:t>
      </w:r>
      <w:proofErr w:type="spellEnd"/>
      <w:r w:rsidRPr="000244F5">
        <w:rPr>
          <w:rFonts w:ascii="Times New Roman" w:eastAsia="Times New Roman" w:hAnsi="Times New Roman" w:cs="Times New Roman"/>
          <w:color w:val="000000"/>
          <w:sz w:val="24"/>
          <w:szCs w:val="24"/>
        </w:rPr>
        <w:t xml:space="preserve"> and theories of Foreign Policy</w:t>
      </w:r>
      <w:r w:rsidR="006A77A5" w:rsidRPr="00ED2EFB">
        <w:rPr>
          <w:rFonts w:ascii="Times New Roman" w:eastAsia="Times New Roman" w:hAnsi="Times New Roman" w:cs="Times New Roman"/>
          <w:i/>
          <w:iCs/>
          <w:color w:val="000000"/>
          <w:sz w:val="24"/>
          <w:szCs w:val="24"/>
        </w:rPr>
        <w:t>”</w:t>
      </w:r>
      <w:r w:rsidRPr="00ED2EFB">
        <w:rPr>
          <w:rFonts w:ascii="Times New Roman" w:eastAsia="Times New Roman" w:hAnsi="Times New Roman" w:cs="Times New Roman"/>
          <w:color w:val="000000"/>
          <w:sz w:val="24"/>
          <w:szCs w:val="24"/>
        </w:rPr>
        <w:t xml:space="preserve">. Según el autor, esta teoría integra variables </w:t>
      </w:r>
      <w:r w:rsidR="008D49B4">
        <w:rPr>
          <w:rFonts w:ascii="Times New Roman" w:eastAsia="Times New Roman" w:hAnsi="Times New Roman" w:cs="Times New Roman"/>
          <w:color w:val="000000"/>
          <w:sz w:val="24"/>
          <w:szCs w:val="24"/>
        </w:rPr>
        <w:t>externas al Estado y endógenas</w:t>
      </w:r>
      <w:r w:rsidRPr="00ED2EFB">
        <w:rPr>
          <w:rFonts w:ascii="Times New Roman" w:eastAsia="Times New Roman" w:hAnsi="Times New Roman" w:cs="Times New Roman"/>
          <w:color w:val="000000"/>
          <w:sz w:val="24"/>
          <w:szCs w:val="24"/>
        </w:rPr>
        <w:t xml:space="preserve"> donde actualiza y sistematiza ciertos conocimientos del realismo clásico. </w:t>
      </w:r>
      <w:r w:rsidR="008D49B4" w:rsidRPr="008D49B4">
        <w:rPr>
          <w:rFonts w:ascii="Times New Roman" w:eastAsia="Times New Roman" w:hAnsi="Times New Roman" w:cs="Times New Roman"/>
          <w:color w:val="000000"/>
          <w:sz w:val="24"/>
          <w:szCs w:val="24"/>
        </w:rPr>
        <w:t>Rose (1998) asocia el carácter realista a la premisa de que el poder material relativo y el estatus sistémico de un Estado definen la proyección y los objetivos de su política externa.</w:t>
      </w:r>
      <w:r w:rsidRPr="00ED2EFB">
        <w:rPr>
          <w:rFonts w:ascii="Times New Roman" w:eastAsia="Times New Roman" w:hAnsi="Times New Roman" w:cs="Times New Roman"/>
          <w:color w:val="000000"/>
          <w:sz w:val="24"/>
          <w:szCs w:val="24"/>
        </w:rPr>
        <w:t xml:space="preserve"> </w:t>
      </w:r>
      <w:r w:rsidR="008D49B4" w:rsidRPr="008D49B4">
        <w:rPr>
          <w:rFonts w:ascii="Times New Roman" w:eastAsia="Times New Roman" w:hAnsi="Times New Roman" w:cs="Times New Roman"/>
          <w:color w:val="000000"/>
          <w:sz w:val="24"/>
          <w:szCs w:val="24"/>
        </w:rPr>
        <w:t>Desde una óptica neoclásica, Rose (1998) plantea que las presiones internacionales se filtran a través de la percepción de los decisores y la estructura del Estado, lo cual complejiza el vínculo entre las capacidades materiales y la acción externa.</w:t>
      </w:r>
    </w:p>
    <w:p w14:paraId="2D24C8D7" w14:textId="08FA6E40" w:rsidR="0044203F" w:rsidRPr="00ED2EFB"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color w:val="000000"/>
          <w:sz w:val="24"/>
          <w:szCs w:val="24"/>
        </w:rPr>
        <w:t xml:space="preserve">Beckmann </w:t>
      </w:r>
      <w:r w:rsidR="007D7C61">
        <w:rPr>
          <w:rFonts w:ascii="Times New Roman" w:eastAsia="Times New Roman" w:hAnsi="Times New Roman" w:cs="Times New Roman"/>
          <w:color w:val="000000"/>
          <w:sz w:val="24"/>
          <w:szCs w:val="24"/>
        </w:rPr>
        <w:t>y</w:t>
      </w:r>
      <w:r w:rsidRPr="00ED2EFB">
        <w:rPr>
          <w:rFonts w:ascii="Times New Roman" w:eastAsia="Times New Roman" w:hAnsi="Times New Roman" w:cs="Times New Roman"/>
          <w:color w:val="000000"/>
          <w:sz w:val="24"/>
          <w:szCs w:val="24"/>
        </w:rPr>
        <w:t xml:space="preserve"> </w:t>
      </w:r>
      <w:proofErr w:type="spellStart"/>
      <w:r w:rsidRPr="00ED2EFB">
        <w:rPr>
          <w:rFonts w:ascii="Times New Roman" w:eastAsia="Times New Roman" w:hAnsi="Times New Roman" w:cs="Times New Roman"/>
          <w:color w:val="000000"/>
          <w:sz w:val="24"/>
          <w:szCs w:val="24"/>
        </w:rPr>
        <w:t>Erpul</w:t>
      </w:r>
      <w:proofErr w:type="spellEnd"/>
      <w:r w:rsidRPr="00ED2EFB">
        <w:rPr>
          <w:rFonts w:ascii="Times New Roman" w:eastAsia="Times New Roman" w:hAnsi="Times New Roman" w:cs="Times New Roman"/>
          <w:color w:val="000000"/>
          <w:sz w:val="24"/>
          <w:szCs w:val="24"/>
        </w:rPr>
        <w:t xml:space="preserve"> (2024) refuerzan este enfoque al subrayar que el realismo neoclásico ofrece una herramienta analítica esencial para entender la política exterior de los Estados del Sur Global. En su análisis, destacan que las dinámicas de poder en el sistema internacional, aunque importantes, no explican por completo las decisiones de política exterior de estos Estados. En cambio, es crucial considerar cómo las percepciones de los líderes y la capacidad estatal de los países influyen en la forma en que responden a las presiones externas. Esto es particularmente relevante para Colombia, un país del Sur Global que enfrenta desafíos transnacionales como el COT, y cuya respuesta depende tanto de sus limitaciones internas como de las presiones internacionales.</w:t>
      </w:r>
    </w:p>
    <w:p w14:paraId="597204C3" w14:textId="77777777" w:rsidR="00CA29B7"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color w:val="000000"/>
          <w:sz w:val="24"/>
          <w:szCs w:val="24"/>
        </w:rPr>
        <w:t xml:space="preserve">El Realismo Neoclásico al poner énfasis </w:t>
      </w:r>
      <w:r w:rsidRPr="00ED2EFB">
        <w:rPr>
          <w:rFonts w:ascii="Times New Roman" w:eastAsia="Times New Roman" w:hAnsi="Times New Roman" w:cs="Times New Roman"/>
          <w:color w:val="0D0D0D"/>
          <w:sz w:val="24"/>
          <w:szCs w:val="24"/>
          <w:highlight w:val="white"/>
        </w:rPr>
        <w:t>en el papel de las variables independientes (sistémicas) y las intervinientes (domésticas), desarrolla una propuesta analítica en forma de narrativas teóricamente informadas, a veces complementadas con análisis contrafactuales que rastrean cómo diferentes factores se combinan para forjar las políticas exteriores particulares de los Estados.</w:t>
      </w:r>
      <w:r w:rsidRPr="00ED2EFB">
        <w:rPr>
          <w:rFonts w:ascii="Times New Roman" w:eastAsia="Times New Roman" w:hAnsi="Times New Roman" w:cs="Times New Roman"/>
          <w:color w:val="000000"/>
          <w:sz w:val="24"/>
          <w:szCs w:val="24"/>
        </w:rPr>
        <w:t xml:space="preserve"> </w:t>
      </w:r>
    </w:p>
    <w:p w14:paraId="5B167E03" w14:textId="77777777" w:rsidR="00E301E4" w:rsidRDefault="00E301E4">
      <w:pPr>
        <w:spacing w:after="0" w:line="360" w:lineRule="auto"/>
        <w:ind w:firstLine="709"/>
        <w:jc w:val="both"/>
        <w:rPr>
          <w:rFonts w:ascii="Times New Roman" w:eastAsia="Times New Roman" w:hAnsi="Times New Roman" w:cs="Times New Roman"/>
          <w:color w:val="000000"/>
          <w:sz w:val="24"/>
          <w:szCs w:val="24"/>
        </w:rPr>
      </w:pPr>
    </w:p>
    <w:p w14:paraId="2D24C8D8" w14:textId="60B6A202" w:rsidR="0044203F" w:rsidRPr="00ED2EFB" w:rsidRDefault="00586DF7">
      <w:pPr>
        <w:spacing w:after="0" w:line="360" w:lineRule="auto"/>
        <w:ind w:firstLine="709"/>
        <w:jc w:val="both"/>
        <w:rPr>
          <w:rFonts w:ascii="Times New Roman" w:eastAsia="Times New Roman" w:hAnsi="Times New Roman" w:cs="Times New Roman"/>
          <w:color w:val="0D0D0D"/>
          <w:sz w:val="24"/>
          <w:szCs w:val="24"/>
          <w:highlight w:val="white"/>
        </w:rPr>
      </w:pPr>
      <w:r w:rsidRPr="00ED2EFB">
        <w:rPr>
          <w:rFonts w:ascii="Times New Roman" w:eastAsia="Times New Roman" w:hAnsi="Times New Roman" w:cs="Times New Roman"/>
          <w:color w:val="000000"/>
          <w:sz w:val="24"/>
          <w:szCs w:val="24"/>
        </w:rPr>
        <w:lastRenderedPageBreak/>
        <w:t>Mijares (2015) afirma que esta teoría se posa en punto medio entre los extremos “[...]representados en las explicaciones estructuralistas del neorrealismo y por aquellas de origen interno como lo plantea el constructivismo social. Pero más importante aún, reafirma la centralidad del Estado en el análisis de política exterior en un mundo multipolar” (p.20)</w:t>
      </w:r>
      <w:r w:rsidRPr="00ED2EFB">
        <w:rPr>
          <w:rFonts w:ascii="Times New Roman" w:eastAsia="Times New Roman" w:hAnsi="Times New Roman" w:cs="Times New Roman"/>
          <w:sz w:val="24"/>
          <w:szCs w:val="24"/>
        </w:rPr>
        <w:t xml:space="preserve">. </w:t>
      </w:r>
    </w:p>
    <w:p w14:paraId="2D24C8D9" w14:textId="3EFD3570" w:rsidR="0044203F" w:rsidRPr="00ED2EFB" w:rsidRDefault="00586DF7">
      <w:pPr>
        <w:spacing w:after="0" w:line="360" w:lineRule="auto"/>
        <w:ind w:firstLine="709"/>
        <w:jc w:val="both"/>
        <w:rPr>
          <w:rFonts w:ascii="Times New Roman" w:eastAsia="Times New Roman" w:hAnsi="Times New Roman" w:cs="Times New Roman"/>
          <w:color w:val="000000"/>
          <w:sz w:val="24"/>
          <w:szCs w:val="24"/>
          <w:highlight w:val="white"/>
        </w:rPr>
      </w:pPr>
      <w:r w:rsidRPr="00ED2EFB">
        <w:rPr>
          <w:rFonts w:ascii="Times New Roman" w:eastAsia="Times New Roman" w:hAnsi="Times New Roman" w:cs="Times New Roman"/>
          <w:color w:val="0D0D0D"/>
          <w:sz w:val="24"/>
          <w:szCs w:val="24"/>
          <w:highlight w:val="white"/>
        </w:rPr>
        <w:t xml:space="preserve">Por su parte </w:t>
      </w:r>
      <w:proofErr w:type="spellStart"/>
      <w:r w:rsidRPr="00ED2EFB">
        <w:rPr>
          <w:rFonts w:ascii="Times New Roman" w:eastAsia="Times New Roman" w:hAnsi="Times New Roman" w:cs="Times New Roman"/>
          <w:color w:val="000000"/>
          <w:sz w:val="24"/>
          <w:szCs w:val="24"/>
        </w:rPr>
        <w:t>Ripsman</w:t>
      </w:r>
      <w:proofErr w:type="spellEnd"/>
      <w:r w:rsidRPr="00ED2EFB">
        <w:rPr>
          <w:rFonts w:ascii="Times New Roman" w:eastAsia="Times New Roman" w:hAnsi="Times New Roman" w:cs="Times New Roman"/>
          <w:color w:val="000000"/>
          <w:sz w:val="24"/>
          <w:szCs w:val="24"/>
        </w:rPr>
        <w:t xml:space="preserve"> et al. (2016)</w:t>
      </w:r>
      <w:r w:rsidRPr="00ED2EFB">
        <w:rPr>
          <w:rFonts w:ascii="Times New Roman" w:eastAsia="Times New Roman" w:hAnsi="Times New Roman" w:cs="Times New Roman"/>
          <w:color w:val="000000"/>
          <w:sz w:val="24"/>
          <w:szCs w:val="24"/>
          <w:highlight w:val="white"/>
        </w:rPr>
        <w:t xml:space="preserve"> en su texto </w:t>
      </w:r>
      <w:proofErr w:type="spellStart"/>
      <w:r w:rsidRPr="00ED2EFB">
        <w:rPr>
          <w:rFonts w:ascii="Times New Roman" w:eastAsia="Times New Roman" w:hAnsi="Times New Roman" w:cs="Times New Roman"/>
          <w:i/>
          <w:iCs/>
          <w:color w:val="000000"/>
          <w:sz w:val="24"/>
          <w:szCs w:val="24"/>
          <w:highlight w:val="white"/>
        </w:rPr>
        <w:t>Neoclassical</w:t>
      </w:r>
      <w:proofErr w:type="spellEnd"/>
      <w:r w:rsidRPr="00ED2EFB">
        <w:rPr>
          <w:rFonts w:ascii="Times New Roman" w:eastAsia="Times New Roman" w:hAnsi="Times New Roman" w:cs="Times New Roman"/>
          <w:i/>
          <w:iCs/>
          <w:color w:val="000000"/>
          <w:sz w:val="24"/>
          <w:szCs w:val="24"/>
          <w:highlight w:val="white"/>
        </w:rPr>
        <w:t xml:space="preserve"> </w:t>
      </w:r>
      <w:proofErr w:type="spellStart"/>
      <w:r w:rsidRPr="00ED2EFB">
        <w:rPr>
          <w:rFonts w:ascii="Times New Roman" w:eastAsia="Times New Roman" w:hAnsi="Times New Roman" w:cs="Times New Roman"/>
          <w:i/>
          <w:iCs/>
          <w:color w:val="000000"/>
          <w:sz w:val="24"/>
          <w:szCs w:val="24"/>
          <w:highlight w:val="white"/>
        </w:rPr>
        <w:t>Realist</w:t>
      </w:r>
      <w:proofErr w:type="spellEnd"/>
      <w:r w:rsidRPr="00ED2EFB">
        <w:rPr>
          <w:rFonts w:ascii="Times New Roman" w:eastAsia="Times New Roman" w:hAnsi="Times New Roman" w:cs="Times New Roman"/>
          <w:i/>
          <w:iCs/>
          <w:color w:val="000000"/>
          <w:sz w:val="24"/>
          <w:szCs w:val="24"/>
          <w:highlight w:val="white"/>
        </w:rPr>
        <w:t xml:space="preserve"> Theory of International </w:t>
      </w:r>
      <w:proofErr w:type="spellStart"/>
      <w:r w:rsidRPr="00ED2EFB">
        <w:rPr>
          <w:rFonts w:ascii="Times New Roman" w:eastAsia="Times New Roman" w:hAnsi="Times New Roman" w:cs="Times New Roman"/>
          <w:i/>
          <w:iCs/>
          <w:color w:val="000000"/>
          <w:sz w:val="24"/>
          <w:szCs w:val="24"/>
          <w:highlight w:val="white"/>
        </w:rPr>
        <w:t>Politics</w:t>
      </w:r>
      <w:proofErr w:type="spellEnd"/>
      <w:r w:rsidRPr="00ED2EFB">
        <w:rPr>
          <w:rFonts w:ascii="Times New Roman" w:eastAsia="Times New Roman" w:hAnsi="Times New Roman" w:cs="Times New Roman"/>
          <w:i/>
          <w:iCs/>
          <w:color w:val="000000"/>
          <w:sz w:val="24"/>
          <w:szCs w:val="24"/>
          <w:highlight w:val="white"/>
        </w:rPr>
        <w:t xml:space="preserve"> </w:t>
      </w:r>
      <w:r w:rsidRPr="00ED2EFB">
        <w:rPr>
          <w:rFonts w:ascii="Times New Roman" w:eastAsia="Times New Roman" w:hAnsi="Times New Roman" w:cs="Times New Roman"/>
          <w:color w:val="000000"/>
          <w:sz w:val="24"/>
          <w:szCs w:val="24"/>
          <w:highlight w:val="white"/>
        </w:rPr>
        <w:t xml:space="preserve">establecen un marco comprehensivo para el desarrollo de la teoría y proponen una agenda de investigación donde se abordan desde decisiones de crisis a corto plazo hasta cambios estructurales en el sistema internacional. </w:t>
      </w:r>
      <w:r w:rsidR="008D49B4" w:rsidRPr="008D49B4">
        <w:rPr>
          <w:rFonts w:ascii="Times New Roman" w:eastAsia="Times New Roman" w:hAnsi="Times New Roman" w:cs="Times New Roman"/>
          <w:color w:val="000000"/>
          <w:sz w:val="24"/>
          <w:szCs w:val="24"/>
        </w:rPr>
        <w:t>El análisis se centra en la interacción entre los niveles sistémicos y domésticos, definiendo al orden global como la variable de entrada que condiciona el comportamiento exterior del Estado</w:t>
      </w:r>
      <w:r w:rsidR="008D49B4">
        <w:rPr>
          <w:rFonts w:ascii="Times New Roman" w:eastAsia="Times New Roman" w:hAnsi="Times New Roman" w:cs="Times New Roman"/>
          <w:color w:val="000000"/>
          <w:sz w:val="24"/>
          <w:szCs w:val="24"/>
        </w:rPr>
        <w:t>,</w:t>
      </w:r>
      <w:r w:rsidRPr="00ED2EFB">
        <w:rPr>
          <w:rFonts w:ascii="Times New Roman" w:eastAsia="Times New Roman" w:hAnsi="Times New Roman" w:cs="Times New Roman"/>
          <w:color w:val="000000"/>
          <w:sz w:val="24"/>
          <w:szCs w:val="24"/>
          <w:highlight w:val="white"/>
        </w:rPr>
        <w:t xml:space="preserve"> con sus variables modificadoras estructurales influye en la política estatal, e introduce el concepto de claridad y permisividad del sistema como factores clave para entender las respuestas estatales a los estímulos sistémicos. Las variables domésticas se categorizan en imagen de los líderes, cultura estratégica, instituciones domésticas y relaciones Estado-Sociedad. Según explican los autores, estas variables afectan la percepción del sistema internacional, la toma de decisiones y la movilización de recursos.</w:t>
      </w:r>
    </w:p>
    <w:p w14:paraId="4C77D490" w14:textId="10831FED" w:rsidR="008D49B4"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sz w:val="24"/>
          <w:szCs w:val="24"/>
        </w:rPr>
        <w:t>S</w:t>
      </w:r>
      <w:r w:rsidRPr="00ED2EFB">
        <w:rPr>
          <w:rFonts w:ascii="Times New Roman" w:eastAsia="Times New Roman" w:hAnsi="Times New Roman" w:cs="Times New Roman"/>
          <w:color w:val="000000"/>
          <w:sz w:val="24"/>
          <w:szCs w:val="24"/>
        </w:rPr>
        <w:t xml:space="preserve">egún el realismo neoclásico, la política exterior y las estrategias de seguridad de un Estado no solo están influenciadas por las presiones y estructuras sistémicas, sino también por variables internas que median estas influencias. Las percepciones de los líderes, la cultura estratégica y la estructura institucional son cruciales para entender cómo </w:t>
      </w:r>
      <w:r w:rsidR="008D49B4" w:rsidRPr="008D49B4">
        <w:rPr>
          <w:rFonts w:ascii="Times New Roman" w:eastAsia="Times New Roman" w:hAnsi="Times New Roman" w:cs="Times New Roman"/>
          <w:color w:val="000000"/>
          <w:sz w:val="24"/>
          <w:szCs w:val="24"/>
        </w:rPr>
        <w:t>un actor como Colombia se ajusta en función de las contingencias y los desafíos que emergen del entorno global</w:t>
      </w:r>
      <w:r w:rsidR="00D61332">
        <w:rPr>
          <w:rFonts w:ascii="Times New Roman" w:eastAsia="Times New Roman" w:hAnsi="Times New Roman" w:cs="Times New Roman"/>
          <w:color w:val="000000"/>
          <w:sz w:val="24"/>
          <w:szCs w:val="24"/>
        </w:rPr>
        <w:t>.</w:t>
      </w:r>
    </w:p>
    <w:p w14:paraId="2D24C8DA" w14:textId="2E6AA63A" w:rsidR="0044203F" w:rsidRPr="00ED2EFB"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sz w:val="24"/>
          <w:szCs w:val="24"/>
        </w:rPr>
        <w:t>El realismo neoclásico brinda los elementos teóricos y un marco analítico que permiten analizar el COT como una amenaza no convencional que pone en riesgo la seguridad nacional y regional</w:t>
      </w:r>
      <w:r w:rsidRPr="00ED2EFB">
        <w:rPr>
          <w:rFonts w:ascii="Times New Roman" w:eastAsia="Times New Roman" w:hAnsi="Times New Roman" w:cs="Times New Roman"/>
          <w:color w:val="000000"/>
          <w:sz w:val="24"/>
          <w:szCs w:val="24"/>
        </w:rPr>
        <w:t>, ya que permite examinar el impacto del COT sobre la política nacional considerando los estímulos internos y externos, construyendo respuestas políticas a circunstancias internacionales (</w:t>
      </w:r>
      <w:proofErr w:type="spellStart"/>
      <w:r w:rsidRPr="00ED2EFB">
        <w:rPr>
          <w:rFonts w:ascii="Times New Roman" w:eastAsia="Times New Roman" w:hAnsi="Times New Roman" w:cs="Times New Roman"/>
          <w:color w:val="000000"/>
          <w:sz w:val="24"/>
          <w:szCs w:val="24"/>
        </w:rPr>
        <w:t>Ripsman</w:t>
      </w:r>
      <w:proofErr w:type="spellEnd"/>
      <w:r w:rsidRPr="00ED2EFB">
        <w:rPr>
          <w:rFonts w:ascii="Times New Roman" w:eastAsia="Times New Roman" w:hAnsi="Times New Roman" w:cs="Times New Roman"/>
          <w:color w:val="000000"/>
          <w:sz w:val="24"/>
          <w:szCs w:val="24"/>
        </w:rPr>
        <w:t xml:space="preserve"> et al., 2016, p. 81).</w:t>
      </w:r>
    </w:p>
    <w:p w14:paraId="160146CB" w14:textId="4FF4FD3C" w:rsidR="007D6710"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De esta manera, para la sistematización de los efectos causales en la operación y la dimensionalidad de las variables explicativas que brinda el realismo neoclásico (variables dependientes, independientes e intervinientes) se determinó como variable dependiente la política de seguridad de Colombia frente al COT</w:t>
      </w:r>
      <w:r w:rsidR="006A77A5" w:rsidRPr="00ED2EFB">
        <w:rPr>
          <w:rFonts w:ascii="Times New Roman" w:eastAsia="Times New Roman" w:hAnsi="Times New Roman" w:cs="Times New Roman"/>
          <w:sz w:val="24"/>
          <w:szCs w:val="24"/>
        </w:rPr>
        <w:t>.</w:t>
      </w:r>
    </w:p>
    <w:p w14:paraId="1B58359A" w14:textId="77777777" w:rsidR="00CA29B7"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sz w:val="24"/>
          <w:szCs w:val="24"/>
        </w:rPr>
        <w:lastRenderedPageBreak/>
        <w:t xml:space="preserve"> </w:t>
      </w:r>
      <w:r w:rsidR="007D6710" w:rsidRPr="00ED2EFB">
        <w:rPr>
          <w:rFonts w:ascii="Times New Roman" w:eastAsia="Times New Roman" w:hAnsi="Times New Roman" w:cs="Times New Roman"/>
          <w:sz w:val="24"/>
          <w:szCs w:val="24"/>
        </w:rPr>
        <w:t>L</w:t>
      </w:r>
      <w:r w:rsidRPr="00ED2EFB">
        <w:rPr>
          <w:rFonts w:ascii="Times New Roman" w:eastAsia="Times New Roman" w:hAnsi="Times New Roman" w:cs="Times New Roman"/>
          <w:sz w:val="24"/>
          <w:szCs w:val="24"/>
        </w:rPr>
        <w:t>as variables independientes o sistémicas son la globalización desviada</w:t>
      </w:r>
      <w:r w:rsidR="004A293C" w:rsidRPr="00ED2EFB">
        <w:rPr>
          <w:rFonts w:ascii="Times New Roman" w:eastAsia="Times New Roman" w:hAnsi="Times New Roman" w:cs="Times New Roman"/>
          <w:sz w:val="24"/>
          <w:szCs w:val="24"/>
        </w:rPr>
        <w:t xml:space="preserve"> y</w:t>
      </w:r>
      <w:r w:rsidR="00C9183D" w:rsidRPr="00ED2EFB">
        <w:rPr>
          <w:rFonts w:ascii="Times New Roman" w:eastAsia="Times New Roman" w:hAnsi="Times New Roman" w:cs="Times New Roman"/>
          <w:sz w:val="24"/>
          <w:szCs w:val="24"/>
        </w:rPr>
        <w:t xml:space="preserve"> la anarquía del sistema internaciona</w:t>
      </w:r>
      <w:r w:rsidR="00205F64" w:rsidRPr="00ED2EFB">
        <w:rPr>
          <w:rFonts w:ascii="Times New Roman" w:eastAsia="Times New Roman" w:hAnsi="Times New Roman" w:cs="Times New Roman"/>
          <w:sz w:val="24"/>
          <w:szCs w:val="24"/>
        </w:rPr>
        <w:t xml:space="preserve">l. </w:t>
      </w:r>
      <w:r w:rsidR="006E2C0C" w:rsidRPr="00ED2EFB">
        <w:rPr>
          <w:rFonts w:ascii="Times New Roman" w:eastAsia="Times New Roman" w:hAnsi="Times New Roman" w:cs="Times New Roman"/>
          <w:sz w:val="24"/>
          <w:szCs w:val="24"/>
        </w:rPr>
        <w:t>L</w:t>
      </w:r>
      <w:r w:rsidR="00F008CE" w:rsidRPr="00ED2EFB">
        <w:rPr>
          <w:rFonts w:ascii="Times New Roman" w:eastAsia="Times New Roman" w:hAnsi="Times New Roman" w:cs="Times New Roman"/>
          <w:sz w:val="24"/>
          <w:szCs w:val="24"/>
        </w:rPr>
        <w:t>a primera variable</w:t>
      </w:r>
      <w:r w:rsidR="004D0FD0" w:rsidRPr="00ED2EFB">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 xml:space="preserve">opera como una contra narrativa de la globalización </w:t>
      </w:r>
      <w:r w:rsidRPr="00ED2EFB">
        <w:rPr>
          <w:rFonts w:ascii="Times New Roman" w:eastAsia="Times New Roman" w:hAnsi="Times New Roman" w:cs="Times New Roman"/>
          <w:color w:val="000000"/>
          <w:sz w:val="24"/>
          <w:szCs w:val="24"/>
        </w:rPr>
        <w:t>(Gilman et al., 2011)</w:t>
      </w:r>
      <w:r w:rsidR="00256854" w:rsidRPr="00ED2EFB">
        <w:rPr>
          <w:rFonts w:ascii="Times New Roman" w:eastAsia="Times New Roman" w:hAnsi="Times New Roman" w:cs="Times New Roman"/>
          <w:color w:val="000000"/>
          <w:sz w:val="24"/>
          <w:szCs w:val="24"/>
        </w:rPr>
        <w:t xml:space="preserve">. </w:t>
      </w:r>
    </w:p>
    <w:p w14:paraId="3E6A7269" w14:textId="62981386" w:rsidR="00366FDD" w:rsidRDefault="000224B3">
      <w:pPr>
        <w:spacing w:after="0" w:line="360" w:lineRule="auto"/>
        <w:ind w:firstLine="709"/>
        <w:jc w:val="both"/>
        <w:rPr>
          <w:rFonts w:ascii="Times New Roman" w:hAnsi="Times New Roman" w:cs="Times New Roman"/>
          <w:sz w:val="24"/>
          <w:szCs w:val="24"/>
        </w:rPr>
      </w:pPr>
      <w:r w:rsidRPr="00ED2EFB">
        <w:rPr>
          <w:rFonts w:ascii="Times New Roman" w:hAnsi="Times New Roman" w:cs="Times New Roman"/>
          <w:sz w:val="24"/>
          <w:szCs w:val="24"/>
        </w:rPr>
        <w:t xml:space="preserve">Esta se puede definir como un conjunto de redes y actividades ilícitas que operan de manera irregular, apalancándose de la misma infraestructura tecnológica, logística y financiera que sustenta la integración y globalización formal. </w:t>
      </w:r>
      <w:r w:rsidR="00D61332" w:rsidRPr="00D61332">
        <w:rPr>
          <w:rFonts w:ascii="Times New Roman" w:hAnsi="Times New Roman" w:cs="Times New Roman"/>
          <w:sz w:val="24"/>
          <w:szCs w:val="24"/>
        </w:rPr>
        <w:t xml:space="preserve">De acuerdo con Gilman et al. (2011), el aprovechamiento de los vacíos regulatorios por parte de organizaciones al margen de la ley para el comercio ilícito de bienes y personas ha dejado de ser una falla marginal. Por el contrario, estas actividades se han integrado de forma sistémica en las interacciones internacionales </w:t>
      </w:r>
      <w:proofErr w:type="gramStart"/>
      <w:r w:rsidR="00D61332" w:rsidRPr="00D61332">
        <w:rPr>
          <w:rFonts w:ascii="Times New Roman" w:hAnsi="Times New Roman" w:cs="Times New Roman"/>
          <w:sz w:val="24"/>
          <w:szCs w:val="24"/>
        </w:rPr>
        <w:t>actuales.</w:t>
      </w:r>
      <w:r w:rsidR="0011310F">
        <w:rPr>
          <w:rFonts w:ascii="Times New Roman" w:hAnsi="Times New Roman" w:cs="Times New Roman"/>
          <w:sz w:val="24"/>
          <w:szCs w:val="24"/>
        </w:rPr>
        <w:t>.</w:t>
      </w:r>
      <w:proofErr w:type="gramEnd"/>
      <w:r w:rsidR="0011310F">
        <w:rPr>
          <w:rFonts w:ascii="Times New Roman" w:hAnsi="Times New Roman" w:cs="Times New Roman"/>
          <w:sz w:val="24"/>
          <w:szCs w:val="24"/>
        </w:rPr>
        <w:t xml:space="preserve"> Un ejemplo de esta dinámica es la </w:t>
      </w:r>
      <w:r w:rsidR="00945EF5">
        <w:rPr>
          <w:rFonts w:ascii="Times New Roman" w:hAnsi="Times New Roman" w:cs="Times New Roman"/>
          <w:sz w:val="24"/>
          <w:szCs w:val="24"/>
        </w:rPr>
        <w:t xml:space="preserve">cooperación y competencia entre el </w:t>
      </w:r>
      <w:proofErr w:type="spellStart"/>
      <w:r w:rsidR="00945EF5">
        <w:rPr>
          <w:rFonts w:ascii="Times New Roman" w:hAnsi="Times New Roman" w:cs="Times New Roman"/>
          <w:sz w:val="24"/>
          <w:szCs w:val="24"/>
        </w:rPr>
        <w:t>TdA</w:t>
      </w:r>
      <w:proofErr w:type="spellEnd"/>
      <w:r w:rsidR="00945EF5">
        <w:rPr>
          <w:rFonts w:ascii="Times New Roman" w:hAnsi="Times New Roman" w:cs="Times New Roman"/>
          <w:sz w:val="24"/>
          <w:szCs w:val="24"/>
        </w:rPr>
        <w:t xml:space="preserve"> en el </w:t>
      </w:r>
      <w:r w:rsidR="00511674">
        <w:rPr>
          <w:rFonts w:ascii="Times New Roman" w:hAnsi="Times New Roman" w:cs="Times New Roman"/>
          <w:sz w:val="24"/>
          <w:szCs w:val="24"/>
        </w:rPr>
        <w:t>control</w:t>
      </w:r>
      <w:r w:rsidR="00945EF5">
        <w:rPr>
          <w:rFonts w:ascii="Times New Roman" w:hAnsi="Times New Roman" w:cs="Times New Roman"/>
          <w:sz w:val="24"/>
          <w:szCs w:val="24"/>
        </w:rPr>
        <w:t xml:space="preserve"> de la migración </w:t>
      </w:r>
      <w:r w:rsidR="00511674">
        <w:rPr>
          <w:rFonts w:ascii="Times New Roman" w:hAnsi="Times New Roman" w:cs="Times New Roman"/>
          <w:sz w:val="24"/>
          <w:szCs w:val="24"/>
        </w:rPr>
        <w:t>irregular</w:t>
      </w:r>
      <w:r w:rsidR="00945EF5">
        <w:rPr>
          <w:rFonts w:ascii="Times New Roman" w:hAnsi="Times New Roman" w:cs="Times New Roman"/>
          <w:sz w:val="24"/>
          <w:szCs w:val="24"/>
        </w:rPr>
        <w:t xml:space="preserve"> en el </w:t>
      </w:r>
      <w:r w:rsidR="00511674">
        <w:rPr>
          <w:rFonts w:ascii="Times New Roman" w:hAnsi="Times New Roman" w:cs="Times New Roman"/>
          <w:sz w:val="24"/>
          <w:szCs w:val="24"/>
        </w:rPr>
        <w:t>Darién</w:t>
      </w:r>
      <w:r w:rsidR="00945EF5">
        <w:rPr>
          <w:rFonts w:ascii="Times New Roman" w:hAnsi="Times New Roman" w:cs="Times New Roman"/>
          <w:sz w:val="24"/>
          <w:szCs w:val="24"/>
        </w:rPr>
        <w:t xml:space="preserve"> </w:t>
      </w:r>
      <w:r w:rsidR="00611C0C" w:rsidRPr="00611C0C">
        <w:rPr>
          <w:rFonts w:ascii="Times New Roman" w:hAnsi="Times New Roman" w:cs="Times New Roman"/>
          <w:sz w:val="24"/>
          <w:szCs w:val="24"/>
        </w:rPr>
        <w:t>(Cajiao et al., 2022)</w:t>
      </w:r>
      <w:r w:rsidRPr="00ED2EFB">
        <w:rPr>
          <w:rFonts w:ascii="Times New Roman" w:hAnsi="Times New Roman" w:cs="Times New Roman"/>
          <w:sz w:val="24"/>
          <w:szCs w:val="24"/>
        </w:rPr>
        <w:t xml:space="preserve">. </w:t>
      </w:r>
    </w:p>
    <w:p w14:paraId="2D24C8DC" w14:textId="7F31D9B6" w:rsidR="0044203F" w:rsidRPr="00ED2EFB" w:rsidRDefault="007E2726">
      <w:pPr>
        <w:spacing w:after="0" w:line="360" w:lineRule="auto"/>
        <w:ind w:firstLine="709"/>
        <w:jc w:val="both"/>
        <w:rPr>
          <w:rFonts w:ascii="Times New Roman" w:eastAsia="Times New Roman" w:hAnsi="Times New Roman" w:cs="Times New Roman"/>
          <w:sz w:val="24"/>
          <w:szCs w:val="24"/>
        </w:rPr>
      </w:pPr>
      <w:r w:rsidRPr="000244F5">
        <w:rPr>
          <w:rFonts w:ascii="Times New Roman" w:hAnsi="Times New Roman" w:cs="Times New Roman"/>
          <w:sz w:val="24"/>
          <w:szCs w:val="24"/>
        </w:rPr>
        <w:t xml:space="preserve">La segunda variable sistémica es la anarquía del Sistema Internacional, entendida como el estímulo externo que facilita la expansión del Tren de Aragua. Resulta crucial comprender que la dispersión de esta organización desde Venezuela hacia más de nueve países de las Américas </w:t>
      </w:r>
      <w:r w:rsidR="00190C79" w:rsidRPr="00ED2EFB">
        <w:rPr>
          <w:rFonts w:ascii="Times New Roman" w:hAnsi="Times New Roman" w:cs="Times New Roman"/>
          <w:sz w:val="24"/>
          <w:szCs w:val="24"/>
        </w:rPr>
        <w:t>(</w:t>
      </w:r>
      <w:r w:rsidRPr="000244F5">
        <w:rPr>
          <w:rFonts w:ascii="Times New Roman" w:hAnsi="Times New Roman" w:cs="Times New Roman"/>
          <w:sz w:val="24"/>
          <w:szCs w:val="24"/>
        </w:rPr>
        <w:t>incluido Estados Unidos</w:t>
      </w:r>
      <w:r w:rsidR="00190C79" w:rsidRPr="00ED2EFB">
        <w:rPr>
          <w:rFonts w:ascii="Times New Roman" w:hAnsi="Times New Roman" w:cs="Times New Roman"/>
          <w:sz w:val="24"/>
          <w:szCs w:val="24"/>
        </w:rPr>
        <w:t>)</w:t>
      </w:r>
      <w:r w:rsidRPr="000244F5">
        <w:rPr>
          <w:rFonts w:ascii="Times New Roman" w:hAnsi="Times New Roman" w:cs="Times New Roman"/>
          <w:sz w:val="24"/>
          <w:szCs w:val="24"/>
        </w:rPr>
        <w:t xml:space="preserve"> utiliza el territorio colombiano como nodo estratégico. No obstante, el gobierno de Petro ha intentado procesar a dicha estructura bajo la categoría de delincuencia común, omitiendo su alcance transnacional y su naturaleza difusa con centros de mando carcelarios. Esta tensión entre la realidad operativa y la respuesta institucional se hizo evidente en octubre de 2025, cuando </w:t>
      </w:r>
      <w:r w:rsidR="001E546D" w:rsidRPr="00ED2EFB">
        <w:rPr>
          <w:rFonts w:ascii="Times New Roman" w:hAnsi="Times New Roman" w:cs="Times New Roman"/>
          <w:sz w:val="24"/>
          <w:szCs w:val="24"/>
        </w:rPr>
        <w:t xml:space="preserve">uno de </w:t>
      </w:r>
      <w:r w:rsidR="00190C79" w:rsidRPr="00ED2EFB">
        <w:rPr>
          <w:rFonts w:ascii="Times New Roman" w:hAnsi="Times New Roman" w:cs="Times New Roman"/>
          <w:sz w:val="24"/>
          <w:szCs w:val="24"/>
        </w:rPr>
        <w:t>los</w:t>
      </w:r>
      <w:r w:rsidRPr="000244F5">
        <w:rPr>
          <w:rFonts w:ascii="Times New Roman" w:hAnsi="Times New Roman" w:cs="Times New Roman"/>
          <w:sz w:val="24"/>
          <w:szCs w:val="24"/>
        </w:rPr>
        <w:t xml:space="preserve"> </w:t>
      </w:r>
      <w:r w:rsidR="00190C79" w:rsidRPr="00ED2EFB">
        <w:rPr>
          <w:rFonts w:ascii="Times New Roman" w:hAnsi="Times New Roman" w:cs="Times New Roman"/>
          <w:sz w:val="24"/>
          <w:szCs w:val="24"/>
        </w:rPr>
        <w:t>lidereares</w:t>
      </w:r>
      <w:r w:rsidRPr="000244F5">
        <w:rPr>
          <w:rFonts w:ascii="Times New Roman" w:hAnsi="Times New Roman" w:cs="Times New Roman"/>
          <w:sz w:val="24"/>
          <w:szCs w:val="24"/>
        </w:rPr>
        <w:t xml:space="preserve"> de la organización, alias</w:t>
      </w:r>
      <w:r w:rsidR="00190C79" w:rsidRPr="00ED2EFB">
        <w:rPr>
          <w:rFonts w:ascii="Times New Roman" w:hAnsi="Times New Roman" w:cs="Times New Roman"/>
          <w:sz w:val="24"/>
          <w:szCs w:val="24"/>
        </w:rPr>
        <w:t xml:space="preserve"> “Larry Changa”</w:t>
      </w:r>
      <w:r w:rsidRPr="000244F5">
        <w:rPr>
          <w:rFonts w:ascii="Times New Roman" w:hAnsi="Times New Roman" w:cs="Times New Roman"/>
          <w:sz w:val="24"/>
          <w:szCs w:val="24"/>
        </w:rPr>
        <w:t>, remitió una misiva al presidente solicitando su inclusión en el marco de la 'Paz Total' (Valencia Ríos, 2025), lo que pone de manifiesto la intención del grupo de instrumentalizar los mecanismos de negociación doméstica para consolidar su presencia.</w:t>
      </w:r>
      <w:r w:rsidR="00586DF7" w:rsidRPr="00ED2EFB">
        <w:rPr>
          <w:rFonts w:ascii="Times New Roman" w:eastAsia="Times New Roman" w:hAnsi="Times New Roman" w:cs="Times New Roman"/>
          <w:sz w:val="24"/>
          <w:szCs w:val="24"/>
        </w:rPr>
        <w:t xml:space="preserve"> </w:t>
      </w:r>
    </w:p>
    <w:p w14:paraId="0CB0C6F8" w14:textId="77777777" w:rsidR="00E301E4"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Para este artículo,</w:t>
      </w:r>
      <w:r w:rsidR="00624357" w:rsidRPr="00ED2EFB">
        <w:rPr>
          <w:rFonts w:ascii="Times New Roman" w:eastAsia="Times New Roman" w:hAnsi="Times New Roman" w:cs="Times New Roman"/>
          <w:sz w:val="24"/>
          <w:szCs w:val="24"/>
        </w:rPr>
        <w:t xml:space="preserve"> si bien se enmarca en </w:t>
      </w:r>
      <w:r w:rsidR="00AB2C7A" w:rsidRPr="00ED2EFB">
        <w:rPr>
          <w:rFonts w:ascii="Times New Roman" w:eastAsia="Times New Roman" w:hAnsi="Times New Roman" w:cs="Times New Roman"/>
          <w:sz w:val="24"/>
          <w:szCs w:val="24"/>
        </w:rPr>
        <w:t>los postulados del realismo neoclásico</w:t>
      </w:r>
      <w:r w:rsidRPr="00ED2EFB">
        <w:rPr>
          <w:rFonts w:ascii="Times New Roman" w:eastAsia="Times New Roman" w:hAnsi="Times New Roman" w:cs="Times New Roman"/>
          <w:sz w:val="24"/>
          <w:szCs w:val="24"/>
        </w:rPr>
        <w:t xml:space="preserve"> se</w:t>
      </w:r>
      <w:r w:rsidR="0015325F" w:rsidRPr="00ED2EFB">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 xml:space="preserve">profundizará </w:t>
      </w:r>
      <w:r w:rsidR="0015325F" w:rsidRPr="00ED2EFB">
        <w:rPr>
          <w:rFonts w:ascii="Times New Roman" w:eastAsia="Times New Roman" w:hAnsi="Times New Roman" w:cs="Times New Roman"/>
          <w:sz w:val="24"/>
          <w:szCs w:val="24"/>
        </w:rPr>
        <w:t>únicamente</w:t>
      </w:r>
      <w:r w:rsidRPr="00ED2EFB">
        <w:rPr>
          <w:rFonts w:ascii="Times New Roman" w:eastAsia="Times New Roman" w:hAnsi="Times New Roman" w:cs="Times New Roman"/>
          <w:sz w:val="24"/>
          <w:szCs w:val="24"/>
        </w:rPr>
        <w:t xml:space="preserve"> en la variable de percepción de los líderes. Partiendo de la tesis de este estudio plantea que el gobierno nacional no ha considerado de manera efectiva los factores externos del COT en el diseño de su política de Paz Total. La expansión del Tren de Aragua es un ejemplo claro de la incapacidad del Estado colombiano para frenar la proliferación del COT</w:t>
      </w:r>
      <w:r w:rsidR="000F2D01" w:rsidRPr="00ED2EFB">
        <w:rPr>
          <w:rFonts w:ascii="Times New Roman" w:eastAsia="Times New Roman" w:hAnsi="Times New Roman" w:cs="Times New Roman"/>
          <w:sz w:val="24"/>
          <w:szCs w:val="24"/>
        </w:rPr>
        <w:t xml:space="preserve"> (Erazo-Patiño, </w:t>
      </w:r>
      <w:r w:rsidR="0005093B">
        <w:rPr>
          <w:rFonts w:ascii="Times New Roman" w:eastAsia="Times New Roman" w:hAnsi="Times New Roman" w:cs="Times New Roman"/>
          <w:sz w:val="24"/>
          <w:szCs w:val="24"/>
        </w:rPr>
        <w:t>e</w:t>
      </w:r>
      <w:r w:rsidR="000F2D01" w:rsidRPr="00ED2EFB">
        <w:rPr>
          <w:rFonts w:ascii="Times New Roman" w:eastAsia="Times New Roman" w:hAnsi="Times New Roman" w:cs="Times New Roman"/>
          <w:sz w:val="24"/>
          <w:szCs w:val="24"/>
        </w:rPr>
        <w:t xml:space="preserve">t </w:t>
      </w:r>
      <w:r w:rsidR="0005093B">
        <w:rPr>
          <w:rFonts w:ascii="Times New Roman" w:eastAsia="Times New Roman" w:hAnsi="Times New Roman" w:cs="Times New Roman"/>
          <w:sz w:val="24"/>
          <w:szCs w:val="24"/>
        </w:rPr>
        <w:t>a</w:t>
      </w:r>
      <w:r w:rsidR="000F2D01" w:rsidRPr="00ED2EFB">
        <w:rPr>
          <w:rFonts w:ascii="Times New Roman" w:eastAsia="Times New Roman" w:hAnsi="Times New Roman" w:cs="Times New Roman"/>
          <w:sz w:val="24"/>
          <w:szCs w:val="24"/>
        </w:rPr>
        <w:t>l</w:t>
      </w:r>
      <w:r w:rsidR="0005093B">
        <w:rPr>
          <w:rFonts w:ascii="Times New Roman" w:eastAsia="Times New Roman" w:hAnsi="Times New Roman" w:cs="Times New Roman"/>
          <w:sz w:val="24"/>
          <w:szCs w:val="24"/>
        </w:rPr>
        <w:t>., 2025</w:t>
      </w:r>
      <w:r w:rsidR="000F2D01" w:rsidRPr="00ED2EFB">
        <w:rPr>
          <w:rFonts w:ascii="Times New Roman" w:eastAsia="Times New Roman" w:hAnsi="Times New Roman" w:cs="Times New Roman"/>
          <w:sz w:val="24"/>
          <w:szCs w:val="24"/>
        </w:rPr>
        <w:t>)</w:t>
      </w:r>
      <w:r w:rsidRPr="00ED2EFB">
        <w:rPr>
          <w:rFonts w:ascii="Times New Roman" w:eastAsia="Times New Roman" w:hAnsi="Times New Roman" w:cs="Times New Roman"/>
          <w:sz w:val="24"/>
          <w:szCs w:val="24"/>
        </w:rPr>
        <w:t xml:space="preserve">. </w:t>
      </w:r>
    </w:p>
    <w:p w14:paraId="169A0B1E" w14:textId="77777777" w:rsidR="00E301E4" w:rsidRDefault="00E301E4">
      <w:pPr>
        <w:spacing w:after="0" w:line="360" w:lineRule="auto"/>
        <w:ind w:firstLine="709"/>
        <w:jc w:val="both"/>
        <w:rPr>
          <w:rFonts w:ascii="Times New Roman" w:eastAsia="Times New Roman" w:hAnsi="Times New Roman" w:cs="Times New Roman"/>
          <w:sz w:val="24"/>
          <w:szCs w:val="24"/>
        </w:rPr>
      </w:pPr>
    </w:p>
    <w:p w14:paraId="2EC91FAA" w14:textId="77777777" w:rsidR="00E301E4" w:rsidRDefault="00E301E4">
      <w:pPr>
        <w:spacing w:after="0" w:line="360" w:lineRule="auto"/>
        <w:ind w:firstLine="709"/>
        <w:jc w:val="both"/>
        <w:rPr>
          <w:rFonts w:ascii="Times New Roman" w:eastAsia="Times New Roman" w:hAnsi="Times New Roman" w:cs="Times New Roman"/>
          <w:sz w:val="24"/>
          <w:szCs w:val="24"/>
        </w:rPr>
      </w:pPr>
    </w:p>
    <w:p w14:paraId="2D24C8DD" w14:textId="2EA94502"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Los hallazgos preliminares indican que, mientras Colombia no incluya en sus acuerdos de negociación con organizaciones criminales una estrategia integral de cooperación en seguridad con otros actores estatales, como el gobierno venezolano, la amenaza de expansión de estos grupos aumentará. Esto no solo reducirá la capacidad estatal de alcanzar y consolidar la paz, sino que también socavará la estabilidad y seguridad en la región.</w:t>
      </w:r>
    </w:p>
    <w:p w14:paraId="2D24C8DE" w14:textId="77777777" w:rsidR="0044203F" w:rsidRPr="00ED2EFB" w:rsidRDefault="0044203F">
      <w:pPr>
        <w:spacing w:after="0" w:line="360" w:lineRule="auto"/>
        <w:ind w:firstLine="709"/>
        <w:jc w:val="both"/>
        <w:rPr>
          <w:rFonts w:ascii="Times New Roman" w:eastAsia="Times New Roman" w:hAnsi="Times New Roman" w:cs="Times New Roman"/>
          <w:sz w:val="24"/>
          <w:szCs w:val="24"/>
        </w:rPr>
      </w:pPr>
    </w:p>
    <w:p w14:paraId="2D24C8E0" w14:textId="79E0BEE6" w:rsidR="0044203F" w:rsidRPr="00ED2EFB" w:rsidRDefault="00586DF7" w:rsidP="000244F5">
      <w:pPr>
        <w:spacing w:after="0" w:line="36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Método</w:t>
      </w:r>
    </w:p>
    <w:p w14:paraId="2D24C8E1" w14:textId="3EB66E0A" w:rsidR="0044203F" w:rsidRPr="00ED2EFB" w:rsidRDefault="00586DF7" w:rsidP="00366FDD">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Esta investigación se desarrolló bajo un enfoque cualitativo de corte exploratorio y se centró en el análisis de contenido de discursos de la presidencia de Gustavo Petro y de un análisis de fuentes periodísticas. El diseño metodológico se sustenta en tres perspectivas analíticas complementarias: el Análisis Crítico del Discurso (ACD), el Marco o </w:t>
      </w:r>
      <w:proofErr w:type="spellStart"/>
      <w:r w:rsidRPr="00ED2EFB">
        <w:rPr>
          <w:rFonts w:ascii="Times New Roman" w:eastAsia="Times New Roman" w:hAnsi="Times New Roman" w:cs="Times New Roman"/>
          <w:sz w:val="24"/>
          <w:szCs w:val="24"/>
        </w:rPr>
        <w:t>Framing</w:t>
      </w:r>
      <w:proofErr w:type="spellEnd"/>
      <w:r w:rsidRPr="00ED2EFB">
        <w:rPr>
          <w:rFonts w:ascii="Times New Roman" w:eastAsia="Times New Roman" w:hAnsi="Times New Roman" w:cs="Times New Roman"/>
          <w:sz w:val="24"/>
          <w:szCs w:val="24"/>
        </w:rPr>
        <w:t xml:space="preserve"> Analysis (FA), y el Análisis Retórico (AR) (Fairclough, 1995; D’Angelo &amp; Kuypers, 2010; Van Dijk, 2008). En el ACD se explora cómo el lenguaje refleja y refuerza las relaciones de poder, desigualdad y dominación</w:t>
      </w:r>
      <w:r w:rsidR="009D1E31">
        <w:rPr>
          <w:rFonts w:ascii="Times New Roman" w:eastAsia="Times New Roman" w:hAnsi="Times New Roman" w:cs="Times New Roman"/>
          <w:sz w:val="24"/>
          <w:szCs w:val="24"/>
        </w:rPr>
        <w:t xml:space="preserve"> (Castells</w:t>
      </w:r>
      <w:r w:rsidR="000059F5">
        <w:rPr>
          <w:rFonts w:ascii="Times New Roman" w:eastAsia="Times New Roman" w:hAnsi="Times New Roman" w:cs="Times New Roman"/>
          <w:sz w:val="24"/>
          <w:szCs w:val="24"/>
        </w:rPr>
        <w:t>, 2009)</w:t>
      </w:r>
      <w:r w:rsidRPr="00ED2EFB">
        <w:rPr>
          <w:rFonts w:ascii="Times New Roman" w:eastAsia="Times New Roman" w:hAnsi="Times New Roman" w:cs="Times New Roman"/>
          <w:sz w:val="24"/>
          <w:szCs w:val="24"/>
        </w:rPr>
        <w:t>, a la vez que examina cómo los actores son representados y qué ideologías subyacen en el discurso</w:t>
      </w:r>
      <w:r w:rsidR="000059F5">
        <w:rPr>
          <w:rFonts w:ascii="Times New Roman" w:eastAsia="Times New Roman" w:hAnsi="Times New Roman" w:cs="Times New Roman"/>
          <w:sz w:val="24"/>
          <w:szCs w:val="24"/>
        </w:rPr>
        <w:t xml:space="preserve"> (</w:t>
      </w:r>
      <w:r w:rsidR="000059F5" w:rsidRPr="00ED2EFB">
        <w:rPr>
          <w:rFonts w:ascii="Times New Roman" w:eastAsia="Times New Roman" w:hAnsi="Times New Roman" w:cs="Times New Roman"/>
          <w:sz w:val="24"/>
          <w:szCs w:val="24"/>
        </w:rPr>
        <w:t>Van Dijk</w:t>
      </w:r>
      <w:r w:rsidR="00DC5796">
        <w:rPr>
          <w:rFonts w:ascii="Times New Roman" w:eastAsia="Times New Roman" w:hAnsi="Times New Roman" w:cs="Times New Roman"/>
          <w:sz w:val="24"/>
          <w:szCs w:val="24"/>
        </w:rPr>
        <w:t>,</w:t>
      </w:r>
      <w:r w:rsidR="00D62431">
        <w:rPr>
          <w:rFonts w:ascii="Times New Roman" w:eastAsia="Times New Roman" w:hAnsi="Times New Roman" w:cs="Times New Roman"/>
          <w:sz w:val="24"/>
          <w:szCs w:val="24"/>
        </w:rPr>
        <w:t xml:space="preserve"> 2013)</w:t>
      </w:r>
      <w:r w:rsidRPr="00ED2EFB">
        <w:rPr>
          <w:rFonts w:ascii="Times New Roman" w:eastAsia="Times New Roman" w:hAnsi="Times New Roman" w:cs="Times New Roman"/>
          <w:sz w:val="24"/>
          <w:szCs w:val="24"/>
        </w:rPr>
        <w:t xml:space="preserve">. Por su parte el </w:t>
      </w:r>
      <w:proofErr w:type="spellStart"/>
      <w:r w:rsidRPr="00ED2EFB">
        <w:rPr>
          <w:rFonts w:ascii="Times New Roman" w:eastAsia="Times New Roman" w:hAnsi="Times New Roman" w:cs="Times New Roman"/>
          <w:sz w:val="24"/>
          <w:szCs w:val="24"/>
        </w:rPr>
        <w:t>Framing</w:t>
      </w:r>
      <w:proofErr w:type="spellEnd"/>
      <w:r w:rsidRPr="00ED2EFB">
        <w:rPr>
          <w:rFonts w:ascii="Times New Roman" w:eastAsia="Times New Roman" w:hAnsi="Times New Roman" w:cs="Times New Roman"/>
          <w:sz w:val="24"/>
          <w:szCs w:val="24"/>
        </w:rPr>
        <w:t xml:space="preserve"> estudia cómo los problemas son estructurados y presentados en el discurso, centrándose en las narrativas y marcos que definen lo que es importante y cómo se debería entender la realidad social, influyendo en la percepción del público y de lo público (control de discurso); y finalmente el AR examina las técnicas persuasivas y los recursos lingüísticos utilizados para convencer y emocionar al público así: ethos (credibilidad), pathos (emociones) y logos (lógica) en los discursos.</w:t>
      </w:r>
    </w:p>
    <w:p w14:paraId="47E3A808" w14:textId="0B92B85F" w:rsidR="00C26E83" w:rsidRPr="00ED2EFB" w:rsidRDefault="00D61332" w:rsidP="00CA29B7">
      <w:pPr>
        <w:spacing w:after="0" w:line="360" w:lineRule="auto"/>
        <w:ind w:firstLine="709"/>
        <w:jc w:val="both"/>
        <w:rPr>
          <w:rFonts w:ascii="Times New Roman" w:eastAsia="Times New Roman" w:hAnsi="Times New Roman" w:cs="Times New Roman"/>
          <w:sz w:val="24"/>
          <w:szCs w:val="24"/>
        </w:rPr>
      </w:pPr>
      <w:r w:rsidRPr="00D61332">
        <w:rPr>
          <w:rFonts w:ascii="Times New Roman" w:eastAsia="Times New Roman" w:hAnsi="Times New Roman" w:cs="Times New Roman"/>
          <w:sz w:val="24"/>
          <w:szCs w:val="24"/>
        </w:rPr>
        <w:t>El análisis se basa en un corpus de 227 discursos presidenciales publicados oficialmente, comprendidos en el arco temporal que va del 3 de octubre de 2023 al 14 de septiembre de 2024.</w:t>
      </w:r>
      <w:r w:rsidR="00586DF7" w:rsidRPr="00ED2EFB">
        <w:rPr>
          <w:rFonts w:ascii="Times New Roman" w:eastAsia="Times New Roman" w:hAnsi="Times New Roman" w:cs="Times New Roman"/>
          <w:sz w:val="24"/>
          <w:szCs w:val="24"/>
        </w:rPr>
        <w:t xml:space="preserve"> Para esta investigación, se seleccionaron 24 discursos que contienen referencias directas a las palabras clave: paz, crimen o criminalidad, y Tren de Aragua. </w:t>
      </w:r>
    </w:p>
    <w:p w14:paraId="0048479B" w14:textId="77777777" w:rsidR="00E301E4" w:rsidRDefault="00586DF7" w:rsidP="0034717F">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Estos discursos fueron filtrados utilizando técnicas de </w:t>
      </w:r>
      <w:proofErr w:type="spellStart"/>
      <w:r w:rsidRPr="00ED2EFB">
        <w:rPr>
          <w:rFonts w:ascii="Times New Roman" w:eastAsia="Times New Roman" w:hAnsi="Times New Roman" w:cs="Times New Roman"/>
          <w:sz w:val="24"/>
          <w:szCs w:val="24"/>
        </w:rPr>
        <w:t>webscraping</w:t>
      </w:r>
      <w:proofErr w:type="spellEnd"/>
      <w:r w:rsidRPr="00ED2EFB">
        <w:rPr>
          <w:rFonts w:ascii="Times New Roman" w:eastAsia="Times New Roman" w:hAnsi="Times New Roman" w:cs="Times New Roman"/>
          <w:sz w:val="24"/>
          <w:szCs w:val="24"/>
        </w:rPr>
        <w:t xml:space="preserve"> y posterior verificación para asegurar la relevancia del contenido respecto a los objetivos de investigación (Zhang et al., 2017). Para la sistematización de los discursos</w:t>
      </w:r>
      <w:r w:rsidR="000823C6">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vertAlign w:val="superscript"/>
        </w:rPr>
        <w:footnoteReference w:id="4"/>
      </w:r>
      <w:r w:rsidRPr="00ED2EFB">
        <w:rPr>
          <w:rFonts w:ascii="Times New Roman" w:eastAsia="Times New Roman" w:hAnsi="Times New Roman" w:cs="Times New Roman"/>
          <w:sz w:val="24"/>
          <w:szCs w:val="24"/>
        </w:rPr>
        <w:t xml:space="preserve"> se siguieron varias acciones: 1. Recolección y organización de los discursos 2. Transcripción y edición para eliminar errores tipográficos. </w:t>
      </w:r>
    </w:p>
    <w:p w14:paraId="2D24C8E4" w14:textId="74D0909A" w:rsidR="0044203F" w:rsidRPr="00ED2EFB" w:rsidRDefault="00586DF7" w:rsidP="0034717F">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3. Etiquetado de cada discurso que fue clasificado según su origen, temática principal y fecha, estableciendo una base de metadatos. 4. Segmentación del contenido y división en unidades de análisis y codificación inicial. 5. Construcción de categorías y subcategorías, incluyendo la agrupación temática y el refinamiento iterativo. 6. Aplicación de métodos de análisis y sistematización, mediante matrices temáticas. 7. Visualizaciones e Interpretación.</w:t>
      </w:r>
    </w:p>
    <w:p w14:paraId="680927BC" w14:textId="38D25700" w:rsidR="00A44C79" w:rsidRPr="000244F5" w:rsidRDefault="00586DF7" w:rsidP="000244F5">
      <w:pPr>
        <w:spacing w:after="0" w:line="360" w:lineRule="auto"/>
        <w:ind w:firstLine="709"/>
        <w:jc w:val="both"/>
        <w:rPr>
          <w:rFonts w:ascii="Times New Roman" w:eastAsia="Aptos" w:hAnsi="Times New Roman" w:cs="Times New Roman"/>
          <w:sz w:val="24"/>
          <w:szCs w:val="24"/>
        </w:rPr>
      </w:pPr>
      <w:r w:rsidRPr="00ED2EFB">
        <w:rPr>
          <w:rFonts w:ascii="Times New Roman" w:eastAsia="Times New Roman" w:hAnsi="Times New Roman" w:cs="Times New Roman"/>
          <w:sz w:val="24"/>
          <w:szCs w:val="24"/>
        </w:rPr>
        <w:t>Los discursos se codificaron utilizando el software MAXQDA</w:t>
      </w:r>
      <w:r w:rsidR="00E67FC5" w:rsidRPr="00ED2EFB">
        <w:rPr>
          <w:rStyle w:val="Refdenotaalpie"/>
          <w:rFonts w:ascii="Times New Roman" w:eastAsia="Times New Roman" w:hAnsi="Times New Roman" w:cs="Times New Roman"/>
          <w:sz w:val="24"/>
          <w:szCs w:val="24"/>
        </w:rPr>
        <w:footnoteReference w:id="5"/>
      </w:r>
      <w:r w:rsidRPr="00ED2EFB">
        <w:rPr>
          <w:rFonts w:ascii="Times New Roman" w:eastAsia="Times New Roman" w:hAnsi="Times New Roman" w:cs="Times New Roman"/>
          <w:sz w:val="24"/>
          <w:szCs w:val="24"/>
        </w:rPr>
        <w:t xml:space="preserve"> y R</w:t>
      </w:r>
      <w:r w:rsidR="00E67FC5" w:rsidRPr="00ED2EFB">
        <w:rPr>
          <w:rStyle w:val="Refdenotaalpie"/>
          <w:rFonts w:ascii="Times New Roman" w:eastAsia="Times New Roman" w:hAnsi="Times New Roman" w:cs="Times New Roman"/>
          <w:sz w:val="24"/>
          <w:szCs w:val="24"/>
        </w:rPr>
        <w:footnoteReference w:id="6"/>
      </w:r>
      <w:r w:rsidRPr="00ED2EFB">
        <w:rPr>
          <w:rFonts w:ascii="Times New Roman" w:eastAsia="Times New Roman" w:hAnsi="Times New Roman" w:cs="Times New Roman"/>
          <w:sz w:val="24"/>
          <w:szCs w:val="24"/>
        </w:rPr>
        <w:t xml:space="preserve"> para facilitar la identificación de patrones y temas recurrentes. Cada discurso fue segmentado en unidades temáticas, y se aplicó un esquema de codificación jerárquica para categorizar los conceptos de paz y criminalidad. El proceso de análisis siguió las siguientes fases:</w:t>
      </w:r>
      <w:r w:rsidR="0034717F" w:rsidRPr="00ED2EFB">
        <w:rPr>
          <w:rFonts w:ascii="Times New Roman" w:eastAsia="Times New Roman" w:hAnsi="Times New Roman" w:cs="Times New Roman"/>
          <w:sz w:val="24"/>
          <w:szCs w:val="24"/>
        </w:rPr>
        <w:t xml:space="preserve"> 1) </w:t>
      </w:r>
      <w:r w:rsidRPr="00ED2EFB">
        <w:rPr>
          <w:rFonts w:ascii="Times New Roman" w:eastAsia="Times New Roman" w:hAnsi="Times New Roman" w:cs="Times New Roman"/>
          <w:sz w:val="24"/>
          <w:szCs w:val="24"/>
        </w:rPr>
        <w:t>Codificación Abierta: Identificación de categorías iniciales a partir de la lectura de los discursos</w:t>
      </w:r>
      <w:r w:rsidR="0034717F" w:rsidRPr="00ED2EFB">
        <w:rPr>
          <w:rFonts w:ascii="Times New Roman" w:eastAsia="Times New Roman" w:hAnsi="Times New Roman" w:cs="Times New Roman"/>
          <w:sz w:val="24"/>
          <w:szCs w:val="24"/>
        </w:rPr>
        <w:t xml:space="preserve">; 2) </w:t>
      </w:r>
      <w:r w:rsidRPr="00ED2EFB">
        <w:rPr>
          <w:rFonts w:ascii="Times New Roman" w:eastAsia="Times New Roman" w:hAnsi="Times New Roman" w:cs="Times New Roman"/>
          <w:sz w:val="24"/>
          <w:szCs w:val="24"/>
        </w:rPr>
        <w:t>Codificación Axial: Agrupación de las categorías en temas más amplios que reflejan relaciones entre conceptos</w:t>
      </w:r>
      <w:r w:rsidR="0034717F" w:rsidRPr="00ED2EFB">
        <w:rPr>
          <w:rFonts w:ascii="Times New Roman" w:eastAsia="Times New Roman" w:hAnsi="Times New Roman" w:cs="Times New Roman"/>
          <w:sz w:val="24"/>
          <w:szCs w:val="24"/>
        </w:rPr>
        <w:t xml:space="preserve"> y 3) </w:t>
      </w:r>
      <w:r w:rsidRPr="00ED2EFB">
        <w:rPr>
          <w:rFonts w:ascii="Times New Roman" w:eastAsia="Times New Roman" w:hAnsi="Times New Roman" w:cs="Times New Roman"/>
          <w:sz w:val="24"/>
          <w:szCs w:val="24"/>
        </w:rPr>
        <w:t>Codificación Selectiva: Integración de las categorías en un marco conceptual que explica la construcción discursiva de los temas analizados.</w:t>
      </w:r>
    </w:p>
    <w:p w14:paraId="2D24C8EA" w14:textId="241C540F"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Lo anterior permitió identificar conceptos y temas emergentes en los datos a través de una revisión detallada de los discursos, marcando frases, palabras clave y conceptos relevantes que se agruparon en categorías iniciales. Posteriormente, se aplicó el análisis temático con un enfoque inductivo para derivar patrones y temas centrales a partir de los datos. Este proceso incluyó la organización de las categorías en temas principales y subtemas, utilizando matrices para mapear las relaciones entre los mismos.</w:t>
      </w:r>
    </w:p>
    <w:p w14:paraId="5FA22E47" w14:textId="77777777" w:rsidR="00C26E83"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Validación: </w:t>
      </w:r>
      <w:r w:rsidR="00366FDD">
        <w:rPr>
          <w:rFonts w:ascii="Times New Roman" w:eastAsia="Times New Roman" w:hAnsi="Times New Roman" w:cs="Times New Roman"/>
          <w:sz w:val="24"/>
          <w:szCs w:val="24"/>
        </w:rPr>
        <w:t>p</w:t>
      </w:r>
      <w:r w:rsidRPr="00ED2EFB">
        <w:rPr>
          <w:rFonts w:ascii="Times New Roman" w:eastAsia="Times New Roman" w:hAnsi="Times New Roman" w:cs="Times New Roman"/>
          <w:sz w:val="24"/>
          <w:szCs w:val="24"/>
        </w:rPr>
        <w:t>ara asegurar la validez y fiabilidad de los resultados, se emplearon la triangulación de datos, a través de la comparación de diferentes fuentes.</w:t>
      </w:r>
      <w:r w:rsidR="00E67FC5" w:rsidRPr="00ED2EFB">
        <w:rPr>
          <w:rFonts w:ascii="Times New Roman" w:eastAsia="Times New Roman" w:hAnsi="Times New Roman" w:cs="Times New Roman"/>
          <w:sz w:val="24"/>
          <w:szCs w:val="24"/>
        </w:rPr>
        <w:t xml:space="preserve"> La triangulación consistió en contrastar los hallazgos obtenidos de los 24 discursos presidenciales con la información extraída de 30 documentos oficiales y fuentes </w:t>
      </w:r>
      <w:r w:rsidR="00CF39A6" w:rsidRPr="00ED2EFB">
        <w:rPr>
          <w:rFonts w:ascii="Times New Roman" w:eastAsia="Times New Roman" w:hAnsi="Times New Roman" w:cs="Times New Roman"/>
          <w:sz w:val="24"/>
          <w:szCs w:val="24"/>
        </w:rPr>
        <w:t>de medios de comunicación</w:t>
      </w:r>
      <w:r w:rsidR="00E67FC5" w:rsidRPr="00ED2EFB">
        <w:rPr>
          <w:rFonts w:ascii="Times New Roman" w:eastAsia="Times New Roman" w:hAnsi="Times New Roman" w:cs="Times New Roman"/>
          <w:sz w:val="24"/>
          <w:szCs w:val="24"/>
        </w:rPr>
        <w:t xml:space="preserve">. </w:t>
      </w:r>
    </w:p>
    <w:p w14:paraId="747EB361" w14:textId="77777777" w:rsidR="00774A3E" w:rsidRDefault="00E67FC5">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Asimismo, esta validación se </w:t>
      </w:r>
      <w:r w:rsidR="00CF39A6" w:rsidRPr="00ED2EFB">
        <w:rPr>
          <w:rFonts w:ascii="Times New Roman" w:eastAsia="Times New Roman" w:hAnsi="Times New Roman" w:cs="Times New Roman"/>
          <w:sz w:val="24"/>
          <w:szCs w:val="24"/>
        </w:rPr>
        <w:t>reforzó</w:t>
      </w:r>
      <w:r w:rsidRPr="00ED2EFB">
        <w:rPr>
          <w:rFonts w:ascii="Times New Roman" w:eastAsia="Times New Roman" w:hAnsi="Times New Roman" w:cs="Times New Roman"/>
          <w:sz w:val="24"/>
          <w:szCs w:val="24"/>
        </w:rPr>
        <w:t xml:space="preserve"> metodológicamente al aplicar tres técnicas analíticas distintas (el Análisis Crítico del Discurso, el </w:t>
      </w:r>
      <w:proofErr w:type="spellStart"/>
      <w:r w:rsidRPr="00ED2EFB">
        <w:rPr>
          <w:rFonts w:ascii="Times New Roman" w:eastAsia="Times New Roman" w:hAnsi="Times New Roman" w:cs="Times New Roman"/>
          <w:sz w:val="24"/>
          <w:szCs w:val="24"/>
        </w:rPr>
        <w:t>Framing</w:t>
      </w:r>
      <w:proofErr w:type="spellEnd"/>
      <w:r w:rsidRPr="00ED2EFB">
        <w:rPr>
          <w:rFonts w:ascii="Times New Roman" w:eastAsia="Times New Roman" w:hAnsi="Times New Roman" w:cs="Times New Roman"/>
          <w:sz w:val="24"/>
          <w:szCs w:val="24"/>
        </w:rPr>
        <w:t xml:space="preserve"> Analysis y el Análisis Retórico) sobre el mismo corpus para observar el fenómeno desde múltiples ángulos.</w:t>
      </w:r>
      <w:r w:rsidR="00774A3E">
        <w:rPr>
          <w:rFonts w:ascii="Times New Roman" w:eastAsia="Times New Roman" w:hAnsi="Times New Roman" w:cs="Times New Roman"/>
          <w:sz w:val="24"/>
          <w:szCs w:val="24"/>
        </w:rPr>
        <w:t xml:space="preserve"> </w:t>
      </w:r>
    </w:p>
    <w:p w14:paraId="2D24C8ED" w14:textId="6FEFA8E6" w:rsidR="0044203F" w:rsidRDefault="00586DF7" w:rsidP="00E301E4">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Limitación</w:t>
      </w:r>
      <w:r w:rsidRPr="00ED2EFB">
        <w:rPr>
          <w:rFonts w:ascii="Times New Roman" w:eastAsia="Times New Roman" w:hAnsi="Times New Roman" w:cs="Times New Roman"/>
          <w:b/>
          <w:bCs/>
          <w:sz w:val="24"/>
          <w:szCs w:val="24"/>
        </w:rPr>
        <w:t>:</w:t>
      </w:r>
      <w:r w:rsidRPr="00ED2EFB">
        <w:rPr>
          <w:rFonts w:ascii="Times New Roman" w:eastAsia="Times New Roman" w:hAnsi="Times New Roman" w:cs="Times New Roman"/>
          <w:sz w:val="24"/>
          <w:szCs w:val="24"/>
        </w:rPr>
        <w:t xml:space="preserve"> </w:t>
      </w:r>
      <w:r w:rsidR="001218A7">
        <w:rPr>
          <w:rFonts w:ascii="Times New Roman" w:eastAsia="Times New Roman" w:hAnsi="Times New Roman" w:cs="Times New Roman"/>
          <w:sz w:val="24"/>
          <w:szCs w:val="24"/>
        </w:rPr>
        <w:t>e</w:t>
      </w:r>
      <w:r w:rsidRPr="00ED2EFB">
        <w:rPr>
          <w:rFonts w:ascii="Times New Roman" w:eastAsia="Times New Roman" w:hAnsi="Times New Roman" w:cs="Times New Roman"/>
          <w:sz w:val="24"/>
          <w:szCs w:val="24"/>
        </w:rPr>
        <w:t>ntre las limitaciones de esta investigación se destaca la posible falta de exhaustividad en la recolección de todos los discursos relevantes debido a restricciones en las bases de datos accesibles en el repositorio de la presidencia de la república de Colombia.</w:t>
      </w:r>
    </w:p>
    <w:p w14:paraId="2D206542" w14:textId="77777777" w:rsidR="00E301E4" w:rsidRPr="00ED2EFB" w:rsidRDefault="00E301E4" w:rsidP="00E301E4">
      <w:pPr>
        <w:spacing w:after="0" w:line="360" w:lineRule="auto"/>
        <w:ind w:firstLine="709"/>
        <w:jc w:val="both"/>
        <w:rPr>
          <w:rFonts w:ascii="Times New Roman" w:eastAsia="Times New Roman" w:hAnsi="Times New Roman" w:cs="Times New Roman"/>
          <w:sz w:val="24"/>
          <w:szCs w:val="24"/>
        </w:rPr>
      </w:pPr>
    </w:p>
    <w:p w14:paraId="2D24C8EF" w14:textId="70504FF8" w:rsidR="0044203F" w:rsidRPr="00ED2EFB" w:rsidRDefault="00586DF7" w:rsidP="000244F5">
      <w:pPr>
        <w:spacing w:after="0" w:line="36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Resultados</w:t>
      </w:r>
    </w:p>
    <w:p w14:paraId="74C6FA09" w14:textId="77777777" w:rsidR="00D61332" w:rsidRDefault="00D61332" w:rsidP="00D61332">
      <w:pPr>
        <w:spacing w:after="0" w:line="360" w:lineRule="auto"/>
        <w:ind w:firstLine="709"/>
        <w:jc w:val="both"/>
        <w:rPr>
          <w:rFonts w:ascii="Times New Roman" w:eastAsia="Times New Roman" w:hAnsi="Times New Roman" w:cs="Times New Roman"/>
          <w:sz w:val="24"/>
          <w:szCs w:val="24"/>
        </w:rPr>
      </w:pPr>
      <w:r w:rsidRPr="00D61332">
        <w:rPr>
          <w:rFonts w:ascii="Times New Roman" w:eastAsia="Times New Roman" w:hAnsi="Times New Roman" w:cs="Times New Roman"/>
          <w:sz w:val="24"/>
          <w:szCs w:val="24"/>
        </w:rPr>
        <w:t>La Ley 2272 de 2022 institucionaliza la paz como eje estatal, modificando el régimen de la Ley 418 de 1997 para optimizar los mecanismos de justicia y los protocolos de convivencia nacional</w:t>
      </w:r>
      <w:r w:rsidR="00586DF7" w:rsidRPr="00ED2EFB">
        <w:rPr>
          <w:rFonts w:ascii="Times New Roman" w:eastAsia="Times New Roman" w:hAnsi="Times New Roman" w:cs="Times New Roman"/>
          <w:sz w:val="24"/>
          <w:szCs w:val="24"/>
        </w:rPr>
        <w:t>; cabe mencionar que esta fue el marco para los diálogos con las FARC del Guaviare en el periodo de Andrés Pastrana y que permitieron definir la seguridad humana</w:t>
      </w:r>
      <w:r w:rsidR="00586DF7" w:rsidRPr="00ED2EFB">
        <w:rPr>
          <w:rFonts w:ascii="Times New Roman" w:eastAsia="Times New Roman" w:hAnsi="Times New Roman" w:cs="Times New Roman"/>
          <w:sz w:val="24"/>
          <w:szCs w:val="24"/>
          <w:vertAlign w:val="superscript"/>
        </w:rPr>
        <w:footnoteReference w:id="7"/>
      </w:r>
      <w:r w:rsidR="00586DF7" w:rsidRPr="00ED2EFB">
        <w:rPr>
          <w:rFonts w:ascii="Times New Roman" w:eastAsia="Times New Roman" w:hAnsi="Times New Roman" w:cs="Times New Roman"/>
          <w:sz w:val="24"/>
          <w:szCs w:val="24"/>
        </w:rPr>
        <w:t xml:space="preserve"> y la Paz Total</w:t>
      </w:r>
      <w:r w:rsidR="00586DF7" w:rsidRPr="00ED2EFB">
        <w:rPr>
          <w:rFonts w:ascii="Times New Roman" w:eastAsia="Times New Roman" w:hAnsi="Times New Roman" w:cs="Times New Roman"/>
          <w:sz w:val="24"/>
          <w:szCs w:val="24"/>
          <w:vertAlign w:val="superscript"/>
        </w:rPr>
        <w:footnoteReference w:id="8"/>
      </w:r>
      <w:r w:rsidR="00586DF7" w:rsidRPr="00ED2EFB">
        <w:rPr>
          <w:rFonts w:ascii="Times New Roman" w:eastAsia="Times New Roman" w:hAnsi="Times New Roman" w:cs="Times New Roman"/>
          <w:sz w:val="24"/>
          <w:szCs w:val="24"/>
        </w:rPr>
        <w:t xml:space="preserve">. </w:t>
      </w:r>
      <w:r w:rsidRPr="00D61332">
        <w:rPr>
          <w:rFonts w:ascii="Times New Roman" w:eastAsia="Times New Roman" w:hAnsi="Times New Roman" w:cs="Times New Roman"/>
          <w:sz w:val="24"/>
          <w:szCs w:val="24"/>
        </w:rPr>
        <w:t>Bajo el amparo de esta ley, se establecen metodologías diferenciadas según la naturaleza del actor armado. Por un lado, se contemplan mesas de negociación de paz y, por otro, procesos de sometimiento judicial para el crimen organizado. Además, la reforma actualiza los protocolos de designación de representantes oficiales en estas gestiones, según lo estipulado en su octavo artículo.</w:t>
      </w:r>
    </w:p>
    <w:p w14:paraId="15DA360C" w14:textId="6A03B2A9" w:rsidR="00774A3E" w:rsidRDefault="00D61332" w:rsidP="00D61332">
      <w:pPr>
        <w:spacing w:after="0" w:line="360" w:lineRule="auto"/>
        <w:ind w:firstLine="709"/>
        <w:jc w:val="both"/>
        <w:rPr>
          <w:rFonts w:ascii="Times New Roman" w:eastAsia="Times New Roman" w:hAnsi="Times New Roman" w:cs="Times New Roman"/>
          <w:sz w:val="24"/>
          <w:szCs w:val="24"/>
        </w:rPr>
      </w:pPr>
      <w:r w:rsidRPr="00D61332">
        <w:rPr>
          <w:rFonts w:ascii="Times New Roman" w:eastAsia="Times New Roman" w:hAnsi="Times New Roman" w:cs="Times New Roman"/>
          <w:sz w:val="24"/>
          <w:szCs w:val="24"/>
        </w:rPr>
        <w:t>Se definen dos categorías de interlocutores: los integrantes directos de las organizaciones armadas y los representantes civiles externos que cuentan con su consentimiento. En ambos casos, el ordenamiento jurídico prevé la interrupción de las órdenes de aprehensión vigentes una vez se institucionalice la fase de negociación o suscripción de pactos.</w:t>
      </w:r>
      <w:r w:rsidR="00586DF7" w:rsidRPr="00ED2EFB">
        <w:rPr>
          <w:rFonts w:ascii="Times New Roman" w:eastAsia="Times New Roman" w:hAnsi="Times New Roman" w:cs="Times New Roman"/>
          <w:sz w:val="24"/>
          <w:szCs w:val="24"/>
        </w:rPr>
        <w:t xml:space="preserve"> </w:t>
      </w:r>
    </w:p>
    <w:p w14:paraId="2D24C8F1" w14:textId="48795185" w:rsidR="0044203F" w:rsidRPr="00ED2EFB" w:rsidRDefault="00D61332">
      <w:pPr>
        <w:spacing w:after="0" w:line="360" w:lineRule="auto"/>
        <w:ind w:firstLine="709"/>
        <w:jc w:val="both"/>
        <w:rPr>
          <w:rFonts w:ascii="Times New Roman" w:eastAsia="Times New Roman" w:hAnsi="Times New Roman" w:cs="Times New Roman"/>
          <w:sz w:val="24"/>
          <w:szCs w:val="24"/>
        </w:rPr>
      </w:pPr>
      <w:r w:rsidRPr="00D61332">
        <w:rPr>
          <w:rFonts w:ascii="Times New Roman" w:eastAsia="Times New Roman" w:hAnsi="Times New Roman" w:cs="Times New Roman"/>
          <w:sz w:val="24"/>
          <w:szCs w:val="24"/>
        </w:rPr>
        <w:t>El marco normativo exige que tanto el Plan Nacional de Desarrollo como los esquemas locales incluyan un componente programático de construcción de paz. Esta integración asegura que las políticas de pacificación cuenten con respaldo presupuestal y técnico en todos los niveles de gobierno.</w:t>
      </w:r>
      <w:r w:rsidR="00586DF7" w:rsidRPr="00ED2EFB">
        <w:rPr>
          <w:rFonts w:ascii="Times New Roman" w:eastAsia="Times New Roman" w:hAnsi="Times New Roman" w:cs="Times New Roman"/>
          <w:sz w:val="24"/>
          <w:szCs w:val="24"/>
        </w:rPr>
        <w:t xml:space="preserve"> Se crean las regiones de paz, donde se pueden adelantar diálogos y facilitar la implementación de los acuerdos, priorizando los territorios vulnerables y afectados por la violencia. Para garantizar la articulación y vigilancia, se crea el Gabinete de Paz, integrado por el gabinete ministerial, quienes sesionarán para coordinar y evaluar el avance de los procesos.</w:t>
      </w:r>
    </w:p>
    <w:p w14:paraId="2D24C8F2" w14:textId="383606D4"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La Paz Total ha generado expectativas por sus ambiciosos objetivos de llevar paz y seguridad a todos los territorios en Colombia. Sin embargo, sus intenciones y esfuerzos han generado incertidumbre pues hace falta una precisión en la caracterización de los actores que permita categorizar a los grupos criminales de manera más clara, ya que, se establecen dos categorías de grupos, pero algunas organizaciones están en las líneas grises, por ejemplo, tienen una capacidad de impacto alta pero no cuentan con un mando central, o por el contrario tienen una estructura central que opera fuera de las fronteras nacionales, como el del Tren de Aragua el cual se tiene información tiene presencia en Colombia y en otros países de América Latina (</w:t>
      </w:r>
      <w:proofErr w:type="spellStart"/>
      <w:r w:rsidRPr="00ED2EFB">
        <w:rPr>
          <w:rFonts w:ascii="Times New Roman" w:eastAsia="Times New Roman" w:hAnsi="Times New Roman" w:cs="Times New Roman"/>
          <w:sz w:val="24"/>
          <w:szCs w:val="24"/>
        </w:rPr>
        <w:t>Sampó</w:t>
      </w:r>
      <w:proofErr w:type="spellEnd"/>
      <w:r w:rsidRPr="00ED2EFB">
        <w:rPr>
          <w:rFonts w:ascii="Times New Roman" w:eastAsia="Times New Roman" w:hAnsi="Times New Roman" w:cs="Times New Roman"/>
          <w:sz w:val="24"/>
          <w:szCs w:val="24"/>
        </w:rPr>
        <w:t xml:space="preserve"> y Troncoso, 2024). </w:t>
      </w:r>
    </w:p>
    <w:p w14:paraId="2D24C8F3" w14:textId="4951B455" w:rsidR="0044203F" w:rsidRPr="00ED2EFB" w:rsidRDefault="006E66EC">
      <w:pPr>
        <w:spacing w:after="0" w:line="360" w:lineRule="auto"/>
        <w:ind w:firstLine="709"/>
        <w:jc w:val="both"/>
        <w:rPr>
          <w:rFonts w:ascii="Times New Roman" w:eastAsia="Times New Roman" w:hAnsi="Times New Roman" w:cs="Times New Roman"/>
          <w:sz w:val="24"/>
          <w:szCs w:val="24"/>
        </w:rPr>
      </w:pPr>
      <w:r w:rsidRPr="006E66EC">
        <w:rPr>
          <w:rFonts w:ascii="Times New Roman" w:eastAsia="Times New Roman" w:hAnsi="Times New Roman" w:cs="Times New Roman"/>
          <w:sz w:val="24"/>
          <w:szCs w:val="24"/>
        </w:rPr>
        <w:t xml:space="preserve">Existe una preocupación latente por el vacío legal en materia de sujeción a la justicia, lo cual impacta directamente la viabilidad de las estrategias estatales frente al crimen organizado. Sin esta base regulatoria, los procesos de concertación activa en las mesas de Buenaventura y Medellín carecen de una garantía jurídica sólida para su </w:t>
      </w:r>
      <w:proofErr w:type="gramStart"/>
      <w:r w:rsidRPr="006E66EC">
        <w:rPr>
          <w:rFonts w:ascii="Times New Roman" w:eastAsia="Times New Roman" w:hAnsi="Times New Roman" w:cs="Times New Roman"/>
          <w:sz w:val="24"/>
          <w:szCs w:val="24"/>
        </w:rPr>
        <w:t>ejecución.</w:t>
      </w:r>
      <w:r w:rsidR="00586DF7" w:rsidRPr="00ED2EFB">
        <w:rPr>
          <w:rFonts w:ascii="Times New Roman" w:eastAsia="Times New Roman" w:hAnsi="Times New Roman" w:cs="Times New Roman"/>
          <w:sz w:val="24"/>
          <w:szCs w:val="24"/>
        </w:rPr>
        <w:t>.</w:t>
      </w:r>
      <w:proofErr w:type="gramEnd"/>
      <w:r w:rsidR="00586DF7" w:rsidRPr="00ED2EFB">
        <w:rPr>
          <w:rFonts w:ascii="Times New Roman" w:eastAsia="Times New Roman" w:hAnsi="Times New Roman" w:cs="Times New Roman"/>
          <w:sz w:val="24"/>
          <w:szCs w:val="24"/>
        </w:rPr>
        <w:t xml:space="preserve"> Y puede significar que los miembros de dichos grupos criminales podrían interpretar la falta de una legislación clara como una ausencia de garantías </w:t>
      </w:r>
      <w:r w:rsidR="00586DF7" w:rsidRPr="00ED2EFB">
        <w:rPr>
          <w:rFonts w:ascii="Times New Roman" w:eastAsia="Times New Roman" w:hAnsi="Times New Roman" w:cs="Times New Roman"/>
          <w:sz w:val="24"/>
          <w:szCs w:val="24"/>
          <w:highlight w:val="white"/>
        </w:rPr>
        <w:t>(Preciado et al., 2023)​</w:t>
      </w:r>
      <w:r w:rsidR="00586DF7" w:rsidRPr="00ED2EFB">
        <w:rPr>
          <w:rFonts w:ascii="Times New Roman" w:eastAsia="Times New Roman" w:hAnsi="Times New Roman" w:cs="Times New Roman"/>
          <w:sz w:val="24"/>
          <w:szCs w:val="24"/>
        </w:rPr>
        <w:t>.</w:t>
      </w:r>
    </w:p>
    <w:p w14:paraId="4CDB9F5E" w14:textId="581B9E57" w:rsidR="00CA29B7" w:rsidRDefault="00586DF7" w:rsidP="00CA29B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Al realizar un análisis crítico de los discursos seleccionados del presidente Gustavo Petro, se denotan una serie de continuidades que permiten establecer una línea narrativa frente a lo que representa este tipo de organizaciones en el contexto de la lucha contra el COT y la Política de la Paz Total. A continuación, se muestra un análisis de los marcos discursivos del presidente Petro que permiten rastrear las orientaciones de su política de Paz Total</w:t>
      </w:r>
      <w:r w:rsidR="000823C6">
        <w:rPr>
          <w:rFonts w:ascii="Times New Roman" w:eastAsia="Times New Roman" w:hAnsi="Times New Roman" w:cs="Times New Roman"/>
          <w:sz w:val="24"/>
          <w:szCs w:val="24"/>
        </w:rPr>
        <w:t>.</w:t>
      </w:r>
    </w:p>
    <w:p w14:paraId="03A01A94"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183EC9FB"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4F3A635A"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07DB842A"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78DFDB7E"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43D28ACE"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1CB719F6"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3C8EAA0C"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52DDAF32"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44CA741E" w14:textId="77777777" w:rsidR="00E301E4" w:rsidRDefault="00E301E4" w:rsidP="00CA29B7">
      <w:pPr>
        <w:spacing w:after="0" w:line="360" w:lineRule="auto"/>
        <w:ind w:firstLine="709"/>
        <w:jc w:val="both"/>
        <w:rPr>
          <w:rFonts w:ascii="Times New Roman" w:eastAsia="Times New Roman" w:hAnsi="Times New Roman" w:cs="Times New Roman"/>
          <w:sz w:val="24"/>
          <w:szCs w:val="24"/>
        </w:rPr>
      </w:pPr>
    </w:p>
    <w:p w14:paraId="0145C461" w14:textId="77777777" w:rsidR="00CA29B7" w:rsidRPr="00CA29B7" w:rsidRDefault="00CA29B7" w:rsidP="00CA29B7">
      <w:pPr>
        <w:spacing w:after="0" w:line="360" w:lineRule="auto"/>
        <w:ind w:firstLine="709"/>
        <w:jc w:val="both"/>
        <w:rPr>
          <w:rFonts w:ascii="Times New Roman" w:eastAsia="Times New Roman" w:hAnsi="Times New Roman" w:cs="Times New Roman"/>
          <w:sz w:val="24"/>
          <w:szCs w:val="24"/>
        </w:rPr>
      </w:pPr>
    </w:p>
    <w:p w14:paraId="2B40B7B7" w14:textId="77777777" w:rsidR="00DA605F" w:rsidRPr="00DA605F" w:rsidRDefault="00586DF7">
      <w:pPr>
        <w:spacing w:after="0" w:line="360" w:lineRule="auto"/>
        <w:jc w:val="both"/>
        <w:rPr>
          <w:rFonts w:ascii="Times New Roman" w:eastAsia="Times New Roman" w:hAnsi="Times New Roman" w:cs="Times New Roman"/>
          <w:b/>
          <w:bCs/>
          <w:sz w:val="24"/>
          <w:szCs w:val="24"/>
        </w:rPr>
      </w:pPr>
      <w:r w:rsidRPr="00DA605F">
        <w:rPr>
          <w:rFonts w:ascii="Times New Roman" w:eastAsia="Times New Roman" w:hAnsi="Times New Roman" w:cs="Times New Roman"/>
          <w:b/>
          <w:bCs/>
          <w:sz w:val="24"/>
          <w:szCs w:val="24"/>
        </w:rPr>
        <w:lastRenderedPageBreak/>
        <w:t xml:space="preserve">Gráfico 1. </w:t>
      </w:r>
    </w:p>
    <w:p w14:paraId="2D24C8F6" w14:textId="401CC866" w:rsidR="0044203F" w:rsidRPr="00DA605F" w:rsidRDefault="00586DF7">
      <w:pPr>
        <w:spacing w:after="0" w:line="360" w:lineRule="auto"/>
        <w:jc w:val="both"/>
        <w:rPr>
          <w:rFonts w:ascii="Times New Roman" w:eastAsia="Times New Roman" w:hAnsi="Times New Roman" w:cs="Times New Roman"/>
          <w:i/>
          <w:iCs/>
          <w:sz w:val="24"/>
          <w:szCs w:val="24"/>
        </w:rPr>
      </w:pPr>
      <w:r w:rsidRPr="00DA605F">
        <w:rPr>
          <w:rFonts w:ascii="Times New Roman" w:eastAsia="Times New Roman" w:hAnsi="Times New Roman" w:cs="Times New Roman"/>
          <w:i/>
          <w:iCs/>
          <w:sz w:val="24"/>
          <w:szCs w:val="24"/>
        </w:rPr>
        <w:t>Comparación ETHOS, LOGOS, PATHOS + TEMAS</w:t>
      </w:r>
    </w:p>
    <w:p w14:paraId="2D24C8F9" w14:textId="5429E086" w:rsidR="0044203F" w:rsidRPr="00ED2EFB" w:rsidRDefault="0034717F" w:rsidP="000823C6">
      <w:pPr>
        <w:spacing w:after="0" w:line="360" w:lineRule="auto"/>
        <w:jc w:val="center"/>
        <w:rPr>
          <w:rFonts w:ascii="Times New Roman" w:eastAsia="Times New Roman" w:hAnsi="Times New Roman" w:cs="Times New Roman"/>
          <w:b/>
          <w:bCs/>
          <w:sz w:val="24"/>
          <w:szCs w:val="24"/>
        </w:rPr>
      </w:pPr>
      <w:r w:rsidRPr="00987B59">
        <w:rPr>
          <w:rFonts w:ascii="Times New Roman" w:eastAsia="Times New Roman" w:hAnsi="Times New Roman" w:cs="Times New Roman"/>
          <w:b/>
          <w:bCs/>
          <w:noProof/>
          <w:sz w:val="24"/>
          <w:szCs w:val="24"/>
        </w:rPr>
        <w:drawing>
          <wp:inline distT="0" distB="0" distL="0" distR="0" wp14:anchorId="115E0EA0" wp14:editId="1947BB6A">
            <wp:extent cx="3548063" cy="3554784"/>
            <wp:effectExtent l="0" t="0" r="0" b="0"/>
            <wp:docPr id="980242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42650" name="Imagen 980242650"/>
                    <pic:cNvPicPr/>
                  </pic:nvPicPr>
                  <pic:blipFill rotWithShape="1">
                    <a:blip r:embed="rId9" cstate="print">
                      <a:extLst>
                        <a:ext uri="{28A0092B-C50C-407E-A947-70E740481C1C}">
                          <a14:useLocalDpi xmlns:a14="http://schemas.microsoft.com/office/drawing/2010/main" val="0"/>
                        </a:ext>
                      </a:extLst>
                    </a:blip>
                    <a:srcRect l="22807" r="21052"/>
                    <a:stretch>
                      <a:fillRect/>
                    </a:stretch>
                  </pic:blipFill>
                  <pic:spPr bwMode="auto">
                    <a:xfrm>
                      <a:off x="0" y="0"/>
                      <a:ext cx="3575952" cy="3582726"/>
                    </a:xfrm>
                    <a:prstGeom prst="rect">
                      <a:avLst/>
                    </a:prstGeom>
                    <a:ln>
                      <a:noFill/>
                    </a:ln>
                    <a:extLst>
                      <a:ext uri="{53640926-AAD7-44D8-BBD7-CCE9431645EC}">
                        <a14:shadowObscured xmlns:a14="http://schemas.microsoft.com/office/drawing/2010/main"/>
                      </a:ext>
                    </a:extLst>
                  </pic:spPr>
                </pic:pic>
              </a:graphicData>
            </a:graphic>
          </wp:inline>
        </w:drawing>
      </w:r>
    </w:p>
    <w:p w14:paraId="2D24C8FA" w14:textId="428E2CC3" w:rsidR="0044203F" w:rsidRPr="00ED2EFB" w:rsidRDefault="00DA605F">
      <w:pPr>
        <w:spacing w:after="0" w:line="360" w:lineRule="auto"/>
        <w:jc w:val="both"/>
        <w:rPr>
          <w:rFonts w:ascii="Times New Roman" w:eastAsia="Times New Roman" w:hAnsi="Times New Roman" w:cs="Times New Roman"/>
          <w:sz w:val="24"/>
          <w:szCs w:val="24"/>
        </w:rPr>
      </w:pPr>
      <w:r w:rsidRPr="00DA605F">
        <w:rPr>
          <w:rFonts w:ascii="Times New Roman" w:eastAsia="Times New Roman" w:hAnsi="Times New Roman" w:cs="Times New Roman"/>
          <w:i/>
          <w:iCs/>
          <w:sz w:val="24"/>
          <w:szCs w:val="24"/>
        </w:rPr>
        <w:t>Nota</w:t>
      </w:r>
      <w:r w:rsidR="00586DF7" w:rsidRPr="00ED2E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00586DF7" w:rsidRPr="00ED2EFB">
        <w:rPr>
          <w:rFonts w:ascii="Times New Roman" w:eastAsia="Times New Roman" w:hAnsi="Times New Roman" w:cs="Times New Roman"/>
          <w:sz w:val="24"/>
          <w:szCs w:val="24"/>
        </w:rPr>
        <w:t xml:space="preserve">laboración </w:t>
      </w:r>
      <w:r>
        <w:rPr>
          <w:rFonts w:ascii="Times New Roman" w:eastAsia="Times New Roman" w:hAnsi="Times New Roman" w:cs="Times New Roman"/>
          <w:sz w:val="24"/>
          <w:szCs w:val="24"/>
        </w:rPr>
        <w:t>p</w:t>
      </w:r>
      <w:r w:rsidR="00586DF7" w:rsidRPr="00ED2EFB">
        <w:rPr>
          <w:rFonts w:ascii="Times New Roman" w:eastAsia="Times New Roman" w:hAnsi="Times New Roman" w:cs="Times New Roman"/>
          <w:sz w:val="24"/>
          <w:szCs w:val="24"/>
        </w:rPr>
        <w:t>ropia</w:t>
      </w:r>
      <w:r>
        <w:rPr>
          <w:rStyle w:val="Refdenotaalpie"/>
          <w:rFonts w:ascii="Times New Roman" w:eastAsia="Times New Roman" w:hAnsi="Times New Roman" w:cs="Times New Roman"/>
          <w:sz w:val="24"/>
          <w:szCs w:val="24"/>
        </w:rPr>
        <w:footnoteReference w:id="9"/>
      </w:r>
    </w:p>
    <w:p w14:paraId="2D24C8FC" w14:textId="77777777" w:rsidR="0044203F" w:rsidRPr="00ED2EFB" w:rsidRDefault="0044203F">
      <w:pPr>
        <w:spacing w:after="0" w:line="360" w:lineRule="auto"/>
        <w:jc w:val="both"/>
        <w:rPr>
          <w:rFonts w:ascii="Times New Roman" w:eastAsia="Times New Roman" w:hAnsi="Times New Roman" w:cs="Times New Roman"/>
          <w:sz w:val="24"/>
          <w:szCs w:val="24"/>
        </w:rPr>
      </w:pPr>
    </w:p>
    <w:p w14:paraId="2D24C8FD" w14:textId="77777777"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El gráfico muestra de manera visual la intensidad con la que se abordan diferentes elementos y temas en los discursos de Gustavo Petro, según los tres enfoques de análisis. Cada uno de los ejes representa un aspecto o tema clave identificado en los discursos:</w:t>
      </w:r>
    </w:p>
    <w:p w14:paraId="2D24C8FE" w14:textId="77777777" w:rsidR="0044203F" w:rsidRPr="00ED2EFB" w:rsidRDefault="0044203F">
      <w:pPr>
        <w:spacing w:after="0" w:line="360" w:lineRule="auto"/>
        <w:ind w:firstLine="709"/>
        <w:jc w:val="both"/>
        <w:rPr>
          <w:rFonts w:ascii="Times New Roman" w:eastAsia="Times New Roman" w:hAnsi="Times New Roman" w:cs="Times New Roman"/>
          <w:sz w:val="24"/>
          <w:szCs w:val="24"/>
        </w:rPr>
      </w:pPr>
    </w:p>
    <w:p w14:paraId="058FDEC5" w14:textId="77777777" w:rsidR="00D24F0A" w:rsidRDefault="00D24F0A" w:rsidP="00D24F0A">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586DF7" w:rsidRPr="00ED2EFB">
        <w:rPr>
          <w:rFonts w:ascii="Times New Roman" w:eastAsia="Times New Roman" w:hAnsi="Times New Roman" w:cs="Times New Roman"/>
          <w:b/>
          <w:bCs/>
          <w:sz w:val="24"/>
          <w:szCs w:val="24"/>
        </w:rPr>
        <w:t>Ethos:</w:t>
      </w:r>
      <w:r w:rsidR="00586DF7" w:rsidRPr="00ED2EFB">
        <w:rPr>
          <w:rFonts w:ascii="Times New Roman" w:eastAsia="Times New Roman" w:hAnsi="Times New Roman" w:cs="Times New Roman"/>
          <w:sz w:val="24"/>
          <w:szCs w:val="24"/>
        </w:rPr>
        <w:t xml:space="preserve"> Mide la credibilidad expresada por Petro en su discurso. Este valor es alto (0,7), lo que refleja cómo él construye su autoridad personal basándose en su experiencia política y trayectoria como exguerrillero y líder social.</w:t>
      </w:r>
    </w:p>
    <w:p w14:paraId="46672B0E" w14:textId="77777777" w:rsidR="00D24F0A" w:rsidRDefault="00D24F0A" w:rsidP="00D24F0A">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586DF7" w:rsidRPr="00ED2EFB">
        <w:rPr>
          <w:rFonts w:ascii="Times New Roman" w:eastAsia="Times New Roman" w:hAnsi="Times New Roman" w:cs="Times New Roman"/>
          <w:b/>
          <w:bCs/>
          <w:sz w:val="24"/>
          <w:szCs w:val="24"/>
        </w:rPr>
        <w:t>Pathos:</w:t>
      </w:r>
      <w:r w:rsidR="00586DF7" w:rsidRPr="00ED2EFB">
        <w:rPr>
          <w:rFonts w:ascii="Times New Roman" w:eastAsia="Times New Roman" w:hAnsi="Times New Roman" w:cs="Times New Roman"/>
          <w:sz w:val="24"/>
          <w:szCs w:val="24"/>
        </w:rPr>
        <w:t xml:space="preserve"> Mide el uso de emociones para generar una respuesta emocional en el público. Este valor es el más alto (0,9), ya que Petro constantemente apela al sufrimiento de las víctimas del conflicto, la pobreza, y la crisis climática para movilizar apoyo emocional.</w:t>
      </w:r>
    </w:p>
    <w:p w14:paraId="2D24C902" w14:textId="13FA468C" w:rsidR="0044203F" w:rsidRPr="00ED2EFB" w:rsidRDefault="00D24F0A" w:rsidP="00CA29B7">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t>
      </w:r>
      <w:r w:rsidR="00586DF7" w:rsidRPr="00ED2EFB">
        <w:rPr>
          <w:rFonts w:ascii="Times New Roman" w:eastAsia="Times New Roman" w:hAnsi="Times New Roman" w:cs="Times New Roman"/>
          <w:b/>
          <w:bCs/>
          <w:sz w:val="24"/>
          <w:szCs w:val="24"/>
        </w:rPr>
        <w:t>Logos:</w:t>
      </w:r>
      <w:r w:rsidR="00586DF7" w:rsidRPr="00ED2EFB">
        <w:rPr>
          <w:rFonts w:ascii="Times New Roman" w:eastAsia="Times New Roman" w:hAnsi="Times New Roman" w:cs="Times New Roman"/>
          <w:sz w:val="24"/>
          <w:szCs w:val="24"/>
        </w:rPr>
        <w:t xml:space="preserve"> Representa los argumentos lógicos y racionales que sustentan sus propuestas de reforma. Este valor es también bastante alto (85), lo que muestra cómo Petro utiliza estadísticas, datos y argumentos racionales para justificar sus reformas y políticas. </w:t>
      </w:r>
    </w:p>
    <w:p w14:paraId="2EDC62DB" w14:textId="207DC4F9" w:rsidR="00FE008A" w:rsidRDefault="00586DF7" w:rsidP="00CA29B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Por su parte, en relación con el análisis categorial se evidencia lo siguiente:</w:t>
      </w:r>
    </w:p>
    <w:p w14:paraId="62FEE143" w14:textId="77777777" w:rsidR="00FE008A" w:rsidRDefault="00FE008A" w:rsidP="00607751">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86DF7" w:rsidRPr="00ED2EFB">
        <w:rPr>
          <w:rFonts w:ascii="Times New Roman" w:eastAsia="Times New Roman" w:hAnsi="Times New Roman" w:cs="Times New Roman"/>
          <w:b/>
          <w:bCs/>
          <w:sz w:val="24"/>
          <w:szCs w:val="24"/>
        </w:rPr>
        <w:t>Paz y Justicia Social:</w:t>
      </w:r>
      <w:r w:rsidR="00586DF7" w:rsidRPr="00ED2EFB">
        <w:rPr>
          <w:rFonts w:ascii="Times New Roman" w:eastAsia="Times New Roman" w:hAnsi="Times New Roman" w:cs="Times New Roman"/>
          <w:sz w:val="24"/>
          <w:szCs w:val="24"/>
        </w:rPr>
        <w:t xml:space="preserve"> Aquí se mide el énfasis temático en la justicia social como parte del proceso de paz. Un valor alto (0,8) refleja que este es uno de los principales marcos narrativos de su discurso, donde la paz no es solo el fin del conflicto armado, sino también la solución a las desigualdades históricas.</w:t>
      </w:r>
    </w:p>
    <w:p w14:paraId="15C2B200" w14:textId="77777777" w:rsidR="00FE008A" w:rsidRDefault="00FE008A" w:rsidP="00607751">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86DF7" w:rsidRPr="00ED2EFB">
        <w:rPr>
          <w:rFonts w:ascii="Times New Roman" w:eastAsia="Times New Roman" w:hAnsi="Times New Roman" w:cs="Times New Roman"/>
          <w:b/>
          <w:bCs/>
          <w:sz w:val="24"/>
          <w:szCs w:val="24"/>
        </w:rPr>
        <w:t>Medio Ambiente:</w:t>
      </w:r>
      <w:r w:rsidR="00586DF7" w:rsidRPr="00ED2EFB">
        <w:rPr>
          <w:rFonts w:ascii="Times New Roman" w:eastAsia="Times New Roman" w:hAnsi="Times New Roman" w:cs="Times New Roman"/>
          <w:sz w:val="24"/>
          <w:szCs w:val="24"/>
        </w:rPr>
        <w:t xml:space="preserve"> El enfoque en el medio ambiente, especialmente el agua, también es significativo (0,6), aunque menos prioritario que otros temas. Petro subraya la importancia de gestionar de manera sostenible los recursos naturales para garantizar la supervivencia futura.</w:t>
      </w:r>
    </w:p>
    <w:p w14:paraId="03190E42" w14:textId="42853468" w:rsidR="000823C6" w:rsidRDefault="00FE008A" w:rsidP="00607751">
      <w:p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86DF7" w:rsidRPr="00ED2EFB">
        <w:rPr>
          <w:rFonts w:ascii="Times New Roman" w:eastAsia="Times New Roman" w:hAnsi="Times New Roman" w:cs="Times New Roman"/>
          <w:b/>
          <w:bCs/>
          <w:sz w:val="24"/>
          <w:szCs w:val="24"/>
        </w:rPr>
        <w:t>Reforma Agraria:</w:t>
      </w:r>
      <w:r w:rsidR="00586DF7" w:rsidRPr="00ED2EFB">
        <w:rPr>
          <w:rFonts w:ascii="Times New Roman" w:eastAsia="Times New Roman" w:hAnsi="Times New Roman" w:cs="Times New Roman"/>
          <w:sz w:val="24"/>
          <w:szCs w:val="24"/>
        </w:rPr>
        <w:t xml:space="preserve"> La reforma agraria también es clave en su discurso (0,7), ya que se presenta como una solución a las desigualdades en la tenencia de tierras y como una base para el desarrollo rural.</w:t>
      </w:r>
    </w:p>
    <w:p w14:paraId="0CE3D5CE" w14:textId="77777777" w:rsidR="00144B55" w:rsidRPr="00144B55" w:rsidRDefault="00144B55" w:rsidP="00144B55">
      <w:pPr>
        <w:spacing w:after="0" w:line="360" w:lineRule="auto"/>
        <w:ind w:firstLine="709"/>
        <w:jc w:val="both"/>
        <w:rPr>
          <w:rFonts w:ascii="Times New Roman" w:eastAsia="Times New Roman" w:hAnsi="Times New Roman" w:cs="Times New Roman"/>
          <w:sz w:val="24"/>
          <w:szCs w:val="24"/>
        </w:rPr>
      </w:pPr>
    </w:p>
    <w:p w14:paraId="2D24C909" w14:textId="141B72BD" w:rsidR="0044203F" w:rsidRPr="000244F5" w:rsidRDefault="00586DF7">
      <w:pPr>
        <w:spacing w:after="0" w:line="360" w:lineRule="auto"/>
        <w:jc w:val="both"/>
        <w:rPr>
          <w:rFonts w:ascii="Times New Roman" w:eastAsia="Times New Roman" w:hAnsi="Times New Roman" w:cs="Times New Roman"/>
          <w:b/>
          <w:bCs/>
          <w:sz w:val="24"/>
          <w:szCs w:val="24"/>
        </w:rPr>
      </w:pPr>
      <w:r w:rsidRPr="000244F5">
        <w:rPr>
          <w:rFonts w:ascii="Times New Roman" w:eastAsia="Times New Roman" w:hAnsi="Times New Roman" w:cs="Times New Roman"/>
          <w:b/>
          <w:bCs/>
          <w:sz w:val="24"/>
          <w:szCs w:val="24"/>
        </w:rPr>
        <w:t xml:space="preserve">Análisis </w:t>
      </w:r>
      <w:r w:rsidR="00DC104E">
        <w:rPr>
          <w:rFonts w:ascii="Times New Roman" w:eastAsia="Times New Roman" w:hAnsi="Times New Roman" w:cs="Times New Roman"/>
          <w:b/>
          <w:bCs/>
          <w:sz w:val="24"/>
          <w:szCs w:val="24"/>
        </w:rPr>
        <w:t>c</w:t>
      </w:r>
      <w:r w:rsidRPr="000244F5">
        <w:rPr>
          <w:rFonts w:ascii="Times New Roman" w:eastAsia="Times New Roman" w:hAnsi="Times New Roman" w:cs="Times New Roman"/>
          <w:b/>
          <w:bCs/>
          <w:sz w:val="24"/>
          <w:szCs w:val="24"/>
        </w:rPr>
        <w:t xml:space="preserve">rítico del </w:t>
      </w:r>
      <w:r w:rsidR="00DC104E">
        <w:rPr>
          <w:rFonts w:ascii="Times New Roman" w:eastAsia="Times New Roman" w:hAnsi="Times New Roman" w:cs="Times New Roman"/>
          <w:b/>
          <w:bCs/>
          <w:sz w:val="24"/>
          <w:szCs w:val="24"/>
        </w:rPr>
        <w:t>d</w:t>
      </w:r>
      <w:r w:rsidRPr="000244F5">
        <w:rPr>
          <w:rFonts w:ascii="Times New Roman" w:eastAsia="Times New Roman" w:hAnsi="Times New Roman" w:cs="Times New Roman"/>
          <w:b/>
          <w:bCs/>
          <w:sz w:val="24"/>
          <w:szCs w:val="24"/>
        </w:rPr>
        <w:t>iscurso (ACD)</w:t>
      </w:r>
    </w:p>
    <w:p w14:paraId="2D24C90B" w14:textId="1B8DFA95" w:rsidR="0044203F" w:rsidRPr="00ED2EFB" w:rsidRDefault="00586DF7" w:rsidP="00144B55">
      <w:pPr>
        <w:spacing w:after="0" w:line="360" w:lineRule="auto"/>
        <w:ind w:firstLine="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Desde una perspectiva crítica, el discurso de la Paz Total se centra en la legitimación del Estado como mediador y transformador de un conflicto histórico. El presidente Gustavo Petro construye una narrativa donde la violencia no es resultado únicamente de las acciones de los grupos armados, sino de un sistema estructuralmente desigual. Esto permite suavizar la imagen de actores armados no estatales, en especial aquellos con motivaciones políticas, como el ELN y disidencias de las FARC, que son representados más como víctimas del sistema que como agresores. Al respecto en el discurso No 1, se afirma:</w:t>
      </w:r>
    </w:p>
    <w:p w14:paraId="18F85D79" w14:textId="77777777" w:rsidR="00607751" w:rsidRDefault="00586DF7">
      <w:pPr>
        <w:spacing w:after="0" w:line="360" w:lineRule="auto"/>
        <w:ind w:left="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 […] arranca con una resistencia indígena, con unas civilizaciones que nunca se debieron perder, con nuestros ancestros mismos, con las raíces que bajan por la tierra hasta encontrar el agua, y más allá, para hacer una tierra sólida y hermosa. Un continente que ha visto la esclavitud, sí, que ha visto la servidumbre, sí, pero que, una y otra vez, se ha levantado bajo las banderas de la libertad, bajo las banderas de un sueño, y es construir una América de seres libres. </w:t>
      </w:r>
    </w:p>
    <w:p w14:paraId="2D24C90D" w14:textId="26899335" w:rsidR="0044203F" w:rsidRPr="00ED2EFB" w:rsidRDefault="00586DF7" w:rsidP="00607751">
      <w:pPr>
        <w:spacing w:after="0" w:line="360" w:lineRule="auto"/>
        <w:ind w:left="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Ahí en ese centro ha estado Colombia, la martirizada Colombia, porque ha sido martirizada; quizás ningún país de la Tierra o muy pocos ha sufrido lo que ha sufrido la sociedad colombiana. Dice la Comisión de la Verdad, contando solo desde el 9 de abril de 1948 para acá, que aquí han sido asesinadas 700 mil personas, que hoy tendrían hijos, que hoy tendrían nietos, que hoy harían de este país quizás un país muchísimo más fabuloso de lo que es. Pero que fueron asesinados, por el sectarismo, por no aguantarse la diferencia; que fueron asesinados por ser simplemente del pueblo y decir que eran rebeldes, que fueron asesinados más recientemente por la ignominia de la guerra contra las drogas, que llenó este país de sangre, y las cárceles, cuando ahora quienes propugnaron esa guerra están sujetos a un peor vicio, el del fentanilo, el del petróleo y el del carbón. Este país ha resistido, y nosotros somos la resistencia viva, heredera de esos cinco siglos que hasta aquí llegan (</w:t>
      </w:r>
      <w:proofErr w:type="gramStart"/>
      <w:r w:rsidR="00CA29B7">
        <w:rPr>
          <w:rFonts w:ascii="Times New Roman" w:eastAsia="Times New Roman" w:hAnsi="Times New Roman" w:cs="Times New Roman"/>
          <w:sz w:val="24"/>
          <w:szCs w:val="24"/>
        </w:rPr>
        <w:t>P</w:t>
      </w:r>
      <w:r w:rsidRPr="00ED2EFB">
        <w:rPr>
          <w:rFonts w:ascii="Times New Roman" w:eastAsia="Times New Roman" w:hAnsi="Times New Roman" w:cs="Times New Roman"/>
          <w:sz w:val="24"/>
          <w:szCs w:val="24"/>
        </w:rPr>
        <w:t>residente</w:t>
      </w:r>
      <w:proofErr w:type="gramEnd"/>
      <w:r w:rsidRPr="00ED2EFB">
        <w:rPr>
          <w:rFonts w:ascii="Times New Roman" w:eastAsia="Times New Roman" w:hAnsi="Times New Roman" w:cs="Times New Roman"/>
          <w:sz w:val="24"/>
          <w:szCs w:val="24"/>
        </w:rPr>
        <w:t xml:space="preserve"> Gustavo Petro durante la Asamblea Nacional por las Reformas Sociales, la Paz y la Unidad de Colombia, 14 de septiembre de 2024)</w:t>
      </w:r>
      <w:r w:rsidR="00607751">
        <w:rPr>
          <w:rFonts w:ascii="Times New Roman" w:eastAsia="Times New Roman" w:hAnsi="Times New Roman" w:cs="Times New Roman"/>
          <w:sz w:val="24"/>
          <w:szCs w:val="24"/>
        </w:rPr>
        <w:t>.</w:t>
      </w:r>
    </w:p>
    <w:p w14:paraId="310CD595" w14:textId="652CC89D" w:rsidR="004F5DDE" w:rsidRPr="00ED2EFB" w:rsidRDefault="00586DF7" w:rsidP="0060775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Este enfoque presenta a la violencia como el síntoma de problemas más profundos como la pobreza y la exclusión, lo que justifica la negociación con actores tradicionalmente vistos como enemigos del Estado. Sin embargo, hay una tensión en cómo se representa la responsabilidad de los grupos criminales, ya que el discurso tiende a invisibilizar el impacto real de la criminalidad.</w:t>
      </w:r>
      <w:r w:rsidR="004F5DDE">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El discurso tiende a diluir las responsabilidades directas de los actores armados y se enfoca en una narrativa de justicia social y reconciliación para legitimar las negociaciones. La representación de los actores varía según su alineación con los ideales de Petro, lo que refleja las dinámicas de poder en juego.</w:t>
      </w:r>
    </w:p>
    <w:p w14:paraId="2D24C912" w14:textId="162FFC43" w:rsidR="0044203F" w:rsidRDefault="00586DF7" w:rsidP="00CB6E8E">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Finalmente, en relación con el análisis por dimensiones retóricas, se evidencia </w:t>
      </w:r>
      <w:proofErr w:type="gramStart"/>
      <w:r w:rsidRPr="00ED2EFB">
        <w:rPr>
          <w:rFonts w:ascii="Times New Roman" w:eastAsia="Times New Roman" w:hAnsi="Times New Roman" w:cs="Times New Roman"/>
          <w:sz w:val="24"/>
          <w:szCs w:val="24"/>
        </w:rPr>
        <w:t>una alta</w:t>
      </w:r>
      <w:proofErr w:type="gramEnd"/>
      <w:r w:rsidRPr="00ED2EFB">
        <w:rPr>
          <w:rFonts w:ascii="Times New Roman" w:eastAsia="Times New Roman" w:hAnsi="Times New Roman" w:cs="Times New Roman"/>
          <w:sz w:val="24"/>
          <w:szCs w:val="24"/>
        </w:rPr>
        <w:t xml:space="preserve"> una recurrencia en temas la categoría de Paz y Justicia Social, lo que sugiere que en esta categoría los discursos tienden a fundamentarse en argumentos racionales y basados en hechos. De otra parte, en relación con la categoría </w:t>
      </w:r>
      <w:r w:rsidRPr="00ED2EFB">
        <w:rPr>
          <w:rFonts w:ascii="Times New Roman" w:eastAsia="Times New Roman" w:hAnsi="Times New Roman" w:cs="Times New Roman"/>
          <w:i/>
          <w:iCs/>
          <w:sz w:val="24"/>
          <w:szCs w:val="24"/>
        </w:rPr>
        <w:t>medio ambiente</w:t>
      </w:r>
      <w:r w:rsidRPr="00ED2EFB">
        <w:rPr>
          <w:rFonts w:ascii="Times New Roman" w:eastAsia="Times New Roman" w:hAnsi="Times New Roman" w:cs="Times New Roman"/>
          <w:sz w:val="24"/>
          <w:szCs w:val="24"/>
        </w:rPr>
        <w:t>, la presencia de los argumentos lógicos es equilibrada, con valores moderados. Y en última instancia en relación con la categoría Reforma Agraria, los argumentos lógicos muestran una menor recurrencia, lo que podría señalar posiblemente argumentos más emocionales.</w:t>
      </w:r>
    </w:p>
    <w:p w14:paraId="4032F913" w14:textId="77777777" w:rsidR="006E66EC" w:rsidRDefault="006E66EC" w:rsidP="000244F5">
      <w:pPr>
        <w:spacing w:after="0" w:line="360" w:lineRule="auto"/>
        <w:jc w:val="both"/>
        <w:rPr>
          <w:rFonts w:ascii="Times New Roman" w:eastAsia="Times New Roman" w:hAnsi="Times New Roman" w:cs="Times New Roman"/>
          <w:b/>
          <w:bCs/>
          <w:sz w:val="24"/>
          <w:szCs w:val="24"/>
        </w:rPr>
      </w:pPr>
    </w:p>
    <w:p w14:paraId="0818F1F2" w14:textId="77777777" w:rsidR="00E301E4" w:rsidRDefault="00E301E4" w:rsidP="000244F5">
      <w:pPr>
        <w:spacing w:after="0" w:line="360" w:lineRule="auto"/>
        <w:jc w:val="both"/>
        <w:rPr>
          <w:rFonts w:ascii="Times New Roman" w:eastAsia="Times New Roman" w:hAnsi="Times New Roman" w:cs="Times New Roman"/>
          <w:b/>
          <w:bCs/>
          <w:sz w:val="24"/>
          <w:szCs w:val="24"/>
        </w:rPr>
      </w:pPr>
    </w:p>
    <w:p w14:paraId="5317D8C3" w14:textId="77777777" w:rsidR="00E301E4" w:rsidRDefault="00E301E4" w:rsidP="000244F5">
      <w:pPr>
        <w:spacing w:after="0" w:line="360" w:lineRule="auto"/>
        <w:jc w:val="both"/>
        <w:rPr>
          <w:rFonts w:ascii="Times New Roman" w:eastAsia="Times New Roman" w:hAnsi="Times New Roman" w:cs="Times New Roman"/>
          <w:b/>
          <w:bCs/>
          <w:sz w:val="24"/>
          <w:szCs w:val="24"/>
        </w:rPr>
      </w:pPr>
    </w:p>
    <w:p w14:paraId="2D24C914" w14:textId="36965476" w:rsidR="0044203F" w:rsidRPr="00ED2EFB" w:rsidRDefault="00586DF7" w:rsidP="000244F5">
      <w:pPr>
        <w:spacing w:after="0" w:line="360" w:lineRule="auto"/>
        <w:jc w:val="both"/>
        <w:rPr>
          <w:rFonts w:ascii="Times New Roman" w:eastAsia="Times New Roman" w:hAnsi="Times New Roman" w:cs="Times New Roman"/>
          <w:b/>
          <w:bCs/>
          <w:sz w:val="24"/>
          <w:szCs w:val="24"/>
        </w:rPr>
      </w:pPr>
      <w:proofErr w:type="spellStart"/>
      <w:r w:rsidRPr="000244F5">
        <w:rPr>
          <w:rFonts w:ascii="Times New Roman" w:eastAsia="Times New Roman" w:hAnsi="Times New Roman" w:cs="Times New Roman"/>
          <w:b/>
          <w:bCs/>
          <w:sz w:val="24"/>
          <w:szCs w:val="24"/>
        </w:rPr>
        <w:lastRenderedPageBreak/>
        <w:t>Framing</w:t>
      </w:r>
      <w:proofErr w:type="spellEnd"/>
      <w:r w:rsidRPr="000244F5">
        <w:rPr>
          <w:rFonts w:ascii="Times New Roman" w:eastAsia="Times New Roman" w:hAnsi="Times New Roman" w:cs="Times New Roman"/>
          <w:b/>
          <w:bCs/>
          <w:sz w:val="24"/>
          <w:szCs w:val="24"/>
        </w:rPr>
        <w:t xml:space="preserve"> </w:t>
      </w:r>
      <w:r w:rsidR="00DC104E">
        <w:rPr>
          <w:rFonts w:ascii="Times New Roman" w:eastAsia="Times New Roman" w:hAnsi="Times New Roman" w:cs="Times New Roman"/>
          <w:b/>
          <w:bCs/>
          <w:sz w:val="24"/>
          <w:szCs w:val="24"/>
        </w:rPr>
        <w:t>a</w:t>
      </w:r>
      <w:r w:rsidRPr="000244F5">
        <w:rPr>
          <w:rFonts w:ascii="Times New Roman" w:eastAsia="Times New Roman" w:hAnsi="Times New Roman" w:cs="Times New Roman"/>
          <w:b/>
          <w:bCs/>
          <w:sz w:val="24"/>
          <w:szCs w:val="24"/>
        </w:rPr>
        <w:t>nalysis (FA)</w:t>
      </w:r>
    </w:p>
    <w:p w14:paraId="2D24C915" w14:textId="77777777" w:rsidR="0044203F" w:rsidRPr="00ED2EFB" w:rsidRDefault="00586DF7" w:rsidP="00CB6E8E">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El análisis revela que la Paz Total está construida como una solución holística que abarca mucho más que acuerdos con grupos armados. La paz es enmarcada como un proceso de cambio estructural que necesita no solo el fin del conflicto armado, sino también la reducción de las desigualdades y el fortalecimiento de los derechos sociales y económicos, sin embargo, existe una ausencia del reconocimiento de variables externas del contexto internacional, las cuales son excluidas por el papel exclusivo de las variables internas, principalmente de las elites y líderes históricos del país. </w:t>
      </w:r>
    </w:p>
    <w:p w14:paraId="2D24C917" w14:textId="004E96F2" w:rsidR="0044203F" w:rsidRPr="00ED2EFB" w:rsidRDefault="00586DF7" w:rsidP="0060775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El marco discursivo del presidente redefine el concepto de seguridad, pasándolo de uno centrado en la violencia militar a uno basado en el bienestar social. De este modo, el conflicto no es tratado como un problema exclusivamente militar o de seguridad, sino como un problema social integral. En ese sentido el discurso No 112, afirma:</w:t>
      </w:r>
    </w:p>
    <w:p w14:paraId="2D24C919" w14:textId="62016FEB" w:rsidR="0044203F" w:rsidRPr="00ED2EFB" w:rsidRDefault="00586DF7" w:rsidP="00607751">
      <w:pPr>
        <w:spacing w:after="0" w:line="360" w:lineRule="auto"/>
        <w:ind w:left="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ya no se trata de firmar un acuerdo de paz entre gente armada. La verdad, no le sirvieron al territorio, aquí dicen, ni guerrilleros del EPL ni paracos ni Farc y, hasta yo diría, ni Clan del Golfo. Si aquí el acuerdo no es la transformación del territorio, lo demás es carreta. Lo demás puede servir. Pero si hay una transformación del territorio y esta es una responsabilidad del Gobierno y el Gobierno lo sabe. O es capaz, como no lo ha hecho la oligarquía colombiana en 200 años, en estos tres es capaz de transformar el territorio o no hay paz […] (alocución presidencial anunciando el nacimiento del poder constituyente en Colombia, 21 de marzo de 2024)</w:t>
      </w:r>
      <w:r w:rsidR="000370A7">
        <w:rPr>
          <w:rFonts w:ascii="Times New Roman" w:eastAsia="Times New Roman" w:hAnsi="Times New Roman" w:cs="Times New Roman"/>
          <w:sz w:val="24"/>
          <w:szCs w:val="24"/>
        </w:rPr>
        <w:t xml:space="preserve">. </w:t>
      </w:r>
    </w:p>
    <w:p w14:paraId="2C846E67" w14:textId="6C2F7871" w:rsidR="000823C6" w:rsidRDefault="00586DF7" w:rsidP="0060775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El gobierno del presidente Gustavo Petro enmarca la paz como un proceso de transformación estructural, alejándose de las soluciones punitivas y militares tradicionales. Este marco permite legitimar la necesidad de abordar la raíz de las desigualdades, pero puede ser visto como insuficiente para quienes abogan por una respuesta más firme frente a los grupos armados.</w:t>
      </w:r>
    </w:p>
    <w:p w14:paraId="118955CA" w14:textId="4D3596A1" w:rsidR="000823C6" w:rsidRDefault="00586DF7" w:rsidP="002D0FF5">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Adicionalmente, llama la atención que el presidente Petro enfatiza la necesidad de la “transformación del territorio” como elemento clave para lograr la paz, lo que implica reconocer que la ausencia o debilidad del Estado en ciertas regiones lo que ha permitido que los grupos armados y criminales hayan llenado el vacío de poder en estos territorios. La crítica a “la oligarquía colombiana en 200 años” sugiere que las élites tradicionales han fallado en abordar las profundas inequidades sociales, creando un caldo de cultivo para el reclutamiento por parte de estos grupos.</w:t>
      </w:r>
    </w:p>
    <w:p w14:paraId="2D24C91C" w14:textId="742C68C1" w:rsidR="0044203F" w:rsidRPr="00ED2EFB" w:rsidRDefault="00586DF7" w:rsidP="00607751">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 xml:space="preserve">Finalmente se destaca la necesidad de una respuesta estatal decidida y eficaz, señalando que la capacidad del gobierno para implementar políticas que transformen el territorio es esencial para contrarrestar las amenazas transnacionales, sin embargo, se desconoce el fenómeno de transnacionalización del crimen, lo cual conduce a reducir el problema de seguridad del país a variables endógenas, desconociendo el papel de lo que se ha denominado en este análisis como globalización desviada y nuevas formas de gobernanza criminal. </w:t>
      </w:r>
    </w:p>
    <w:p w14:paraId="2D24C91E" w14:textId="0E4267F0" w:rsidR="0044203F" w:rsidRPr="00ED2EFB" w:rsidRDefault="00586DF7">
      <w:pPr>
        <w:spacing w:after="0" w:line="360" w:lineRule="auto"/>
        <w:jc w:val="both"/>
        <w:rPr>
          <w:rFonts w:ascii="Times New Roman" w:eastAsia="Times New Roman" w:hAnsi="Times New Roman" w:cs="Times New Roman"/>
          <w:i/>
          <w:iCs/>
          <w:sz w:val="24"/>
          <w:szCs w:val="24"/>
        </w:rPr>
      </w:pPr>
      <w:r w:rsidRPr="000244F5">
        <w:rPr>
          <w:rFonts w:ascii="Times New Roman" w:eastAsia="Times New Roman" w:hAnsi="Times New Roman" w:cs="Times New Roman"/>
          <w:b/>
          <w:bCs/>
          <w:sz w:val="24"/>
          <w:szCs w:val="24"/>
        </w:rPr>
        <w:t xml:space="preserve">Análisis </w:t>
      </w:r>
      <w:r w:rsidR="00DC104E">
        <w:rPr>
          <w:rFonts w:ascii="Times New Roman" w:eastAsia="Times New Roman" w:hAnsi="Times New Roman" w:cs="Times New Roman"/>
          <w:b/>
          <w:bCs/>
          <w:sz w:val="24"/>
          <w:szCs w:val="24"/>
        </w:rPr>
        <w:t>r</w:t>
      </w:r>
      <w:r w:rsidRPr="000244F5">
        <w:rPr>
          <w:rFonts w:ascii="Times New Roman" w:eastAsia="Times New Roman" w:hAnsi="Times New Roman" w:cs="Times New Roman"/>
          <w:b/>
          <w:bCs/>
          <w:sz w:val="24"/>
          <w:szCs w:val="24"/>
        </w:rPr>
        <w:t>etórico (AR)</w:t>
      </w:r>
    </w:p>
    <w:p w14:paraId="2D24C920" w14:textId="66BBAEEB" w:rsidR="0044203F" w:rsidRPr="00ED2EFB" w:rsidRDefault="00586DF7" w:rsidP="00607751">
      <w:pPr>
        <w:spacing w:after="0" w:line="360" w:lineRule="auto"/>
        <w:ind w:firstLine="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Desde una perspectiva retórica, el discurso sobre la amenaza del Tren de Aragua en Colombia se caracteriza por un uso eficaz de las estrategias persuasivas tradicionales: ethos, pathos y logos. En términos de ethos, construye credibilidad al presentar a las autoridades como guardianes de la seguridad nacional. Al abordar discursivamente las actividades del Tren de Aragua, como la trata de personas y el tráfico de drogas, se busca generar una conexión emocional (pathos) mediante el reconocimiento de las víctimas y el impacto devastador en las comunidades. Finalmente, el uso de datos y estadísticas que describen la expansión de esta organización criminal refuerza el logos, apelando a la racionalidad de la audiencia y la necesidad de acciones concretas e inmediatas</w:t>
      </w:r>
      <w:r w:rsidRPr="00ED2EFB">
        <w:rPr>
          <w:rFonts w:ascii="Times New Roman" w:eastAsia="Times New Roman" w:hAnsi="Times New Roman" w:cs="Times New Roman"/>
          <w:i/>
          <w:iCs/>
          <w:sz w:val="24"/>
          <w:szCs w:val="24"/>
        </w:rPr>
        <w:t>.</w:t>
      </w:r>
      <w:r w:rsidRPr="00ED2EFB">
        <w:rPr>
          <w:rFonts w:ascii="Times New Roman" w:eastAsia="Times New Roman" w:hAnsi="Times New Roman" w:cs="Times New Roman"/>
          <w:sz w:val="24"/>
          <w:szCs w:val="24"/>
        </w:rPr>
        <w:t xml:space="preserve"> Al respecto el discurso No 1, se afirma: </w:t>
      </w:r>
    </w:p>
    <w:p w14:paraId="2D24C922" w14:textId="4F1276C0" w:rsidR="0044203F" w:rsidRPr="00ED2EFB" w:rsidRDefault="00586DF7" w:rsidP="00D57F14">
      <w:pPr>
        <w:spacing w:after="0" w:line="360" w:lineRule="auto"/>
        <w:ind w:left="1416"/>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 La prensa: ‘Uy, es que Petro se pone botas el 20 de julio’. Las botas del Ejército me puse, porque el 20 de julio se conmemora libertad y Ejército Libertador. </w:t>
      </w:r>
    </w:p>
    <w:p w14:paraId="2D24C924" w14:textId="68819A89" w:rsidR="0044203F" w:rsidRPr="00ED2EFB" w:rsidRDefault="00586DF7" w:rsidP="000823C6">
      <w:pPr>
        <w:spacing w:after="0" w:line="360" w:lineRule="auto"/>
        <w:ind w:left="708" w:firstLine="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No, que se aplaquen las tensiones mientras el operativo seguía en su curso.</w:t>
      </w:r>
    </w:p>
    <w:p w14:paraId="2D24C926" w14:textId="623A0FEB" w:rsidR="0044203F" w:rsidRPr="00ED2EFB" w:rsidRDefault="00586DF7" w:rsidP="000823C6">
      <w:pPr>
        <w:spacing w:after="0" w:line="360" w:lineRule="auto"/>
        <w:ind w:left="708" w:firstLine="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Y sigue hoy en su curso.</w:t>
      </w:r>
    </w:p>
    <w:p w14:paraId="2D24C928" w14:textId="12627CB1" w:rsidR="0044203F" w:rsidRPr="00ED2EFB" w:rsidRDefault="00586DF7" w:rsidP="00D57F14">
      <w:pPr>
        <w:spacing w:after="0" w:line="360" w:lineRule="auto"/>
        <w:ind w:left="1416"/>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Y hay quienes tienen la información, porque otro señor salió en una cárcel pidiendo hablar, y le dijo a quienes tenían que escucharlo: es que yo escuché a tres del ‘Tren de Aragua’ diciendo que tienen un camión para volarlo a su paso. Y era la misma información.</w:t>
      </w:r>
    </w:p>
    <w:p w14:paraId="2D24C92A" w14:textId="67565D14" w:rsidR="0044203F" w:rsidRPr="00ED2EFB" w:rsidRDefault="00586DF7" w:rsidP="000823C6">
      <w:pPr>
        <w:spacing w:after="0" w:line="360" w:lineRule="auto"/>
        <w:ind w:left="708" w:firstLine="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Y dijeron: no, esa versión tampoco la podemos creer.</w:t>
      </w:r>
    </w:p>
    <w:p w14:paraId="2D24C92B" w14:textId="0E02404F" w:rsidR="0044203F" w:rsidRPr="00ED2EFB" w:rsidRDefault="00586DF7" w:rsidP="00D57F14">
      <w:pPr>
        <w:spacing w:after="0" w:line="360" w:lineRule="auto"/>
        <w:ind w:left="1416"/>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Y después apareció un pastor evangélico, en un aeropuerto, y le llegaron otros dirigentes religiosos, dijeron: qué susto, mire lo que escuchamos. Y otra vez lo mismo. En tres meses, o el </w:t>
      </w:r>
      <w:proofErr w:type="gramStart"/>
      <w:r w:rsidRPr="00ED2EFB">
        <w:rPr>
          <w:rFonts w:ascii="Times New Roman" w:eastAsia="Times New Roman" w:hAnsi="Times New Roman" w:cs="Times New Roman"/>
          <w:sz w:val="24"/>
          <w:szCs w:val="24"/>
        </w:rPr>
        <w:t>Presidente</w:t>
      </w:r>
      <w:proofErr w:type="gramEnd"/>
      <w:r w:rsidRPr="00ED2EFB">
        <w:rPr>
          <w:rFonts w:ascii="Times New Roman" w:eastAsia="Times New Roman" w:hAnsi="Times New Roman" w:cs="Times New Roman"/>
          <w:sz w:val="24"/>
          <w:szCs w:val="24"/>
        </w:rPr>
        <w:t xml:space="preserve"> sale de la Presidencia o se muere. (Palabras del presidente de la República, Gustavo Petro, al intervenir en la Asamblea Nacional por las Reformas Sociales, la Paz y la Unidad de Colombia, 14 de septiembre de 20</w:t>
      </w:r>
      <w:r w:rsidR="00D57F14">
        <w:rPr>
          <w:rFonts w:ascii="Times New Roman" w:eastAsia="Times New Roman" w:hAnsi="Times New Roman" w:cs="Times New Roman"/>
          <w:sz w:val="24"/>
          <w:szCs w:val="24"/>
        </w:rPr>
        <w:t>, p. 1</w:t>
      </w:r>
      <w:r w:rsidRPr="00ED2EFB">
        <w:rPr>
          <w:rFonts w:ascii="Times New Roman" w:eastAsia="Times New Roman" w:hAnsi="Times New Roman" w:cs="Times New Roman"/>
          <w:sz w:val="24"/>
          <w:szCs w:val="24"/>
        </w:rPr>
        <w:t>)</w:t>
      </w:r>
      <w:r w:rsidR="002D0FF5">
        <w:rPr>
          <w:rFonts w:ascii="Times New Roman" w:eastAsia="Times New Roman" w:hAnsi="Times New Roman" w:cs="Times New Roman"/>
          <w:sz w:val="24"/>
          <w:szCs w:val="24"/>
        </w:rPr>
        <w:t>.</w:t>
      </w:r>
    </w:p>
    <w:p w14:paraId="2D24C92C" w14:textId="77777777" w:rsidR="0044203F" w:rsidRPr="00ED2EFB" w:rsidRDefault="0044203F">
      <w:pPr>
        <w:spacing w:after="0" w:line="360" w:lineRule="auto"/>
        <w:ind w:firstLine="709"/>
        <w:jc w:val="both"/>
        <w:rPr>
          <w:rFonts w:ascii="Times New Roman" w:eastAsia="Times New Roman" w:hAnsi="Times New Roman" w:cs="Times New Roman"/>
          <w:i/>
          <w:iCs/>
          <w:sz w:val="24"/>
          <w:szCs w:val="24"/>
        </w:rPr>
      </w:pPr>
    </w:p>
    <w:p w14:paraId="2D24C92D" w14:textId="77777777"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De otra parte, en los discursos seleccionados, el término Crimen Organizado Transnacional no se menciona de manera explícita; sin embargo, hay referencias indirectas que abordan elementos asociados a este fenómeno. Por ejemplo, en el discurso No 52 (Palabras del presidente Gustavo Petro en el evento: Transformando vidas, seguridad humana y paz total en Colombia, en la Universidad Sueca de Defensa, Estocolmo, Suecia, 14 de junio de 2024), se discuten las conexiones internacionales del narcotráfico y las economías ilícitas, destacando cómo estas operan más allá del control nacional. </w:t>
      </w:r>
    </w:p>
    <w:p w14:paraId="2D24C92E" w14:textId="773DACBE"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Asimismo, en el discurso No 90 (Palabras del presidente Gustavo Petro Urrego en la apertura del XIV Congreso Nacional de </w:t>
      </w:r>
      <w:proofErr w:type="gramStart"/>
      <w:r w:rsidRPr="00ED2EFB">
        <w:rPr>
          <w:rFonts w:ascii="Times New Roman" w:eastAsia="Times New Roman" w:hAnsi="Times New Roman" w:cs="Times New Roman"/>
          <w:sz w:val="24"/>
          <w:szCs w:val="24"/>
        </w:rPr>
        <w:t>Concejales</w:t>
      </w:r>
      <w:proofErr w:type="gramEnd"/>
      <w:r w:rsidRPr="00ED2EFB">
        <w:rPr>
          <w:rFonts w:ascii="Times New Roman" w:eastAsia="Times New Roman" w:hAnsi="Times New Roman" w:cs="Times New Roman"/>
          <w:sz w:val="24"/>
          <w:szCs w:val="24"/>
        </w:rPr>
        <w:t xml:space="preserve"> por la Paz y la Democracia 2024, Bogotá D.C., 29 de abril de 2024), se </w:t>
      </w:r>
      <w:r w:rsidR="00ED2EFB" w:rsidRPr="00ED2EFB">
        <w:rPr>
          <w:rFonts w:ascii="Times New Roman" w:eastAsia="Times New Roman" w:hAnsi="Times New Roman" w:cs="Times New Roman"/>
          <w:sz w:val="24"/>
          <w:szCs w:val="24"/>
        </w:rPr>
        <w:t>menciona</w:t>
      </w:r>
      <w:r w:rsidRPr="00ED2EFB">
        <w:rPr>
          <w:rFonts w:ascii="Times New Roman" w:eastAsia="Times New Roman" w:hAnsi="Times New Roman" w:cs="Times New Roman"/>
          <w:sz w:val="24"/>
          <w:szCs w:val="24"/>
        </w:rPr>
        <w:t xml:space="preserve"> organizaciones multinacionales implicadas en economías ilegales, lo que sugiere referencia al Tren de Aragua. Y finalmente en el discurso No 157 (Palabras del presidente Gustavo Petro durante el encuentro con los directores y comandantes de Policía, Bogotá D.C., 31 de enero de 2024), se detalla el caso de la "banda del Rolex", una red criminal internacional que opera con un alto nivel de coordinación global, vinculando actividades ilícitas locales con dinámicas globalizadas. Estas menciones, aunque indirectas, describen características propias del COT, como la movilidad internacional, el control territorial y el uso de redes sofisticadas para sostener economías ilícitas.</w:t>
      </w:r>
    </w:p>
    <w:p w14:paraId="3689F8B7" w14:textId="0769C0AA" w:rsidR="000823C6" w:rsidRDefault="00586DF7" w:rsidP="00D57F14">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Desde una perspectiva retórica, el discurso de la Paz Total del presidente Gustavo Petro se caracteriza por un uso eficaz de las estrategias persuasivas tradicionales: ethos, pathos y logos. En términos de ethos, Petro construye su credibilidad como una figura histórica de izquierda, vinculada a movimientos sociales y comprometida con la defensa de los derechos de los oprimidos. El discurso abarca diversos grupos que han sido protagonistas y víctimas del conflicto agrario en Colombia. Esta enumeración crea una sensación de inclusión y reconocimiento, estableciendo una conexión emocional con la audiencia.</w:t>
      </w:r>
    </w:p>
    <w:p w14:paraId="2D24C931" w14:textId="7F10E271" w:rsidR="0044203F" w:rsidRDefault="00586DF7" w:rsidP="00D57F14">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Su trayectoria política, sumada a su experiencia en la militancia del M-19 que se transformó en político, refuerza su autoridad y legitimidad para hablar sobre la paz y sobre el papel de los “excluidos”. En cuanto al pathos, el discurso apela profundamente a las emociones, en particular al sufrimiento de las víctimas del conflicto armado. Al respecto el discurso No 223, se afirma: </w:t>
      </w:r>
    </w:p>
    <w:p w14:paraId="1EB932F1" w14:textId="77777777" w:rsidR="00033148" w:rsidRDefault="00033148" w:rsidP="00D57F14">
      <w:pPr>
        <w:spacing w:after="0" w:line="360" w:lineRule="auto"/>
        <w:ind w:firstLine="709"/>
        <w:jc w:val="both"/>
        <w:rPr>
          <w:rFonts w:ascii="Times New Roman" w:eastAsia="Times New Roman" w:hAnsi="Times New Roman" w:cs="Times New Roman"/>
          <w:sz w:val="24"/>
          <w:szCs w:val="24"/>
        </w:rPr>
      </w:pPr>
    </w:p>
    <w:p w14:paraId="2D24C933" w14:textId="6817C5D4" w:rsidR="0044203F" w:rsidRPr="00ED2EFB" w:rsidRDefault="00586DF7" w:rsidP="00033148">
      <w:pPr>
        <w:spacing w:after="0" w:line="360" w:lineRule="auto"/>
        <w:ind w:left="708"/>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[…]se trata de hablar con la comunidad diversa, aquí, campesina, indígena y de firmantes de paz, excombatientes, que al final tienen una causa común y es que la tierra si no es repartida es causante en su mala repartición, no la tierra, sino quienes la concentran de la violencia en Colombia. Ese es un punto que ha sido discutido desde hace, yo diría que un siglo y quizás más, comenzó a ser discutido desde mediados del siglo XIX, pero a pesar del tiempo y la distancia, nunca se solucionó. Colombia es de los pocos países en medio de muchísimos países que sí se desarrollaron, que no fue capaz de hacer lo que se llama la tarea democrática en relación al campo, a la tierra […] (Palabras del presidente de la República, Gustavo Petro, en la entrega de tierras a firmantes de paz, indígenas y campesinos, 06 de octubre de 2023</w:t>
      </w:r>
      <w:r w:rsidR="00E301E4">
        <w:rPr>
          <w:rFonts w:ascii="Times New Roman" w:eastAsia="Times New Roman" w:hAnsi="Times New Roman" w:cs="Times New Roman"/>
          <w:sz w:val="24"/>
          <w:szCs w:val="24"/>
        </w:rPr>
        <w:t>, p. 1</w:t>
      </w:r>
      <w:r w:rsidRPr="00ED2EFB">
        <w:rPr>
          <w:rFonts w:ascii="Times New Roman" w:eastAsia="Times New Roman" w:hAnsi="Times New Roman" w:cs="Times New Roman"/>
          <w:sz w:val="24"/>
          <w:szCs w:val="24"/>
        </w:rPr>
        <w:t>)</w:t>
      </w:r>
      <w:r w:rsidR="00033148">
        <w:rPr>
          <w:rFonts w:ascii="Times New Roman" w:eastAsia="Times New Roman" w:hAnsi="Times New Roman" w:cs="Times New Roman"/>
          <w:sz w:val="24"/>
          <w:szCs w:val="24"/>
        </w:rPr>
        <w:t>.</w:t>
      </w:r>
    </w:p>
    <w:p w14:paraId="4A2AA1BF" w14:textId="75B3220C" w:rsidR="0034717F" w:rsidRPr="00ED2EFB" w:rsidRDefault="00586DF7" w:rsidP="00033148">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Petro utiliza el recurso de la reinterpretación de la Historia para clarificar los responsables del conflicto, a quienes podría considerarse como una elite histórica quienes igualmente han gobernado y, por tanto, declara resultan ser los responsables del conflicto que padece el país. Por último, </w:t>
      </w:r>
      <w:r w:rsidR="006E66EC">
        <w:rPr>
          <w:rFonts w:ascii="Times New Roman" w:eastAsia="Times New Roman" w:hAnsi="Times New Roman" w:cs="Times New Roman"/>
          <w:sz w:val="24"/>
          <w:szCs w:val="24"/>
        </w:rPr>
        <w:t>l</w:t>
      </w:r>
      <w:r w:rsidR="006E66EC" w:rsidRPr="006E66EC">
        <w:rPr>
          <w:rFonts w:ascii="Times New Roman" w:eastAsia="Times New Roman" w:hAnsi="Times New Roman" w:cs="Times New Roman"/>
          <w:sz w:val="24"/>
          <w:szCs w:val="24"/>
        </w:rPr>
        <w:t>a lógica argumentativa del Ejecutivo desplaza el enfoque punitivo tradicional por un análisis multicausal. Al citar investigaciones que priorizan la justicia social sobre la respuesta bélica, Petro justifica la Paz Total como un proyecto que ataca la raíz del fenómeno violento: la inequidad y la desatención estatal.</w:t>
      </w:r>
    </w:p>
    <w:p w14:paraId="2D24C937" w14:textId="77777777" w:rsidR="0044203F" w:rsidRPr="000244F5" w:rsidRDefault="00586DF7">
      <w:pPr>
        <w:spacing w:after="0" w:line="360" w:lineRule="auto"/>
        <w:jc w:val="both"/>
        <w:rPr>
          <w:rFonts w:ascii="Times New Roman" w:eastAsia="Times New Roman" w:hAnsi="Times New Roman" w:cs="Times New Roman"/>
          <w:b/>
          <w:bCs/>
          <w:sz w:val="24"/>
          <w:szCs w:val="24"/>
        </w:rPr>
      </w:pPr>
      <w:r w:rsidRPr="000244F5">
        <w:rPr>
          <w:rFonts w:ascii="Times New Roman" w:eastAsia="Times New Roman" w:hAnsi="Times New Roman" w:cs="Times New Roman"/>
          <w:b/>
          <w:bCs/>
          <w:sz w:val="24"/>
          <w:szCs w:val="24"/>
        </w:rPr>
        <w:t>Análisis comparativo</w:t>
      </w:r>
    </w:p>
    <w:p w14:paraId="5237C764" w14:textId="1F158FE0" w:rsidR="000823C6" w:rsidRDefault="00586DF7" w:rsidP="00E301E4">
      <w:pPr>
        <w:spacing w:after="0" w:line="360" w:lineRule="auto"/>
        <w:ind w:firstLine="720"/>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Las conclusiones generales del análisis comparativo sobre el discurso de la Paz Total de Gustavo Petro revelan varios aspectos clave. En primer lugar, el </w:t>
      </w:r>
      <w:r w:rsidR="00DC104E">
        <w:rPr>
          <w:rFonts w:ascii="Times New Roman" w:eastAsia="Times New Roman" w:hAnsi="Times New Roman" w:cs="Times New Roman"/>
          <w:sz w:val="24"/>
          <w:szCs w:val="24"/>
        </w:rPr>
        <w:t>análisis del discurso crítico</w:t>
      </w:r>
      <w:r w:rsidRPr="00ED2EFB">
        <w:rPr>
          <w:rFonts w:ascii="Times New Roman" w:eastAsia="Times New Roman" w:hAnsi="Times New Roman" w:cs="Times New Roman"/>
          <w:sz w:val="24"/>
          <w:szCs w:val="24"/>
        </w:rPr>
        <w:t xml:space="preserve"> (ACD) sugiere que el discurso tiende a despolitizar parcialmente a los actores armados, al presentarlos más como víctimas de la exclusión social que como perpetradores de violencia. Esta estrategia facilita la legitimación de las negociaciones, aunque también podría interpretarse como una minimización de la agencia y responsabilidad de estos grupos. En segundo lugar, el Marco de Análisis (FA) muestra que el gobierno adopta una perspectiva inclusiva, en la cual la paz no se limita a la pacificación de los territorios, sino que es entendida como el resultado de la justicia social y el bienestar económico. Este enfoque transformador se plantea como una respuesta a los problemas históricos de Colombia. </w:t>
      </w:r>
    </w:p>
    <w:p w14:paraId="5E018771" w14:textId="77777777" w:rsidR="00E301E4" w:rsidRDefault="00E301E4" w:rsidP="00E301E4">
      <w:pPr>
        <w:spacing w:after="0" w:line="360" w:lineRule="auto"/>
        <w:ind w:firstLine="720"/>
        <w:jc w:val="both"/>
        <w:rPr>
          <w:rFonts w:ascii="Times New Roman" w:eastAsia="Times New Roman" w:hAnsi="Times New Roman" w:cs="Times New Roman"/>
          <w:sz w:val="24"/>
          <w:szCs w:val="24"/>
        </w:rPr>
      </w:pPr>
    </w:p>
    <w:p w14:paraId="0B8B6C9D" w14:textId="77777777" w:rsidR="00E301E4" w:rsidRDefault="00E301E4" w:rsidP="00E301E4">
      <w:pPr>
        <w:spacing w:after="0" w:line="360" w:lineRule="auto"/>
        <w:ind w:firstLine="720"/>
        <w:jc w:val="both"/>
        <w:rPr>
          <w:rFonts w:ascii="Times New Roman" w:eastAsia="Times New Roman" w:hAnsi="Times New Roman" w:cs="Times New Roman"/>
          <w:sz w:val="24"/>
          <w:szCs w:val="24"/>
        </w:rPr>
      </w:pPr>
    </w:p>
    <w:p w14:paraId="634A5270" w14:textId="4AA9F673" w:rsidR="000823C6" w:rsidRPr="00ED2EFB" w:rsidRDefault="00586DF7" w:rsidP="00033148">
      <w:pPr>
        <w:spacing w:after="0" w:line="360" w:lineRule="auto"/>
        <w:ind w:firstLine="720"/>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Finalmente, el Análisis Retórico (AR) destaca el uso eficaz de la retórica por parte de Petro, quien construye su figura de autoridad mediante su trayectoria política (ethos), mientras moviliza emociones (pathos) y presenta argumentos lógicos (logos) que refuerzan la necesidad urgente de una solución negociada al conflicto. Este conjunto de estrategias discursivas permite a Petro posicionar su propuesta de Paz Total como una alternativa viable y moralmente legítima.</w:t>
      </w:r>
    </w:p>
    <w:p w14:paraId="2D24C93A" w14:textId="77777777" w:rsidR="0044203F" w:rsidRPr="000244F5" w:rsidRDefault="00586DF7">
      <w:pPr>
        <w:spacing w:after="0" w:line="360" w:lineRule="auto"/>
        <w:jc w:val="both"/>
        <w:rPr>
          <w:rFonts w:ascii="Times New Roman" w:eastAsia="Times New Roman" w:hAnsi="Times New Roman" w:cs="Times New Roman"/>
          <w:b/>
          <w:bCs/>
          <w:sz w:val="24"/>
          <w:szCs w:val="24"/>
        </w:rPr>
      </w:pPr>
      <w:r w:rsidRPr="000244F5">
        <w:rPr>
          <w:rFonts w:ascii="Times New Roman" w:eastAsia="Times New Roman" w:hAnsi="Times New Roman" w:cs="Times New Roman"/>
          <w:b/>
          <w:bCs/>
          <w:sz w:val="24"/>
          <w:szCs w:val="24"/>
        </w:rPr>
        <w:t>Análisis comparativo por palabas clave</w:t>
      </w:r>
    </w:p>
    <w:p w14:paraId="12201D78" w14:textId="75608419" w:rsidR="000823C6" w:rsidRDefault="00586DF7" w:rsidP="00033148">
      <w:pPr>
        <w:spacing w:after="0" w:line="360" w:lineRule="auto"/>
        <w:ind w:firstLine="720"/>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El análisis comparativo de las palabras clave utilizadas en el discurso de Gustavo Petro, centrado en “Paz Total”, “Seguridad”, "Criminalidad" y "Tren de Aragua", revela una estructura discursiva que refleja los principales retos y enfoques del gobierno en torno a la paz y la seguridad en Colombia.</w:t>
      </w:r>
    </w:p>
    <w:p w14:paraId="7BC6C6A0" w14:textId="77777777" w:rsidR="004D671E" w:rsidRDefault="004D671E" w:rsidP="00E301E4">
      <w:pPr>
        <w:spacing w:after="0" w:line="360" w:lineRule="auto"/>
        <w:jc w:val="both"/>
        <w:rPr>
          <w:rFonts w:ascii="Times New Roman" w:eastAsia="Times New Roman" w:hAnsi="Times New Roman" w:cs="Times New Roman"/>
          <w:sz w:val="24"/>
          <w:szCs w:val="24"/>
        </w:rPr>
      </w:pPr>
    </w:p>
    <w:p w14:paraId="5F2427D2" w14:textId="77777777" w:rsidR="00DA605F" w:rsidRDefault="00586DF7" w:rsidP="00DA605F">
      <w:pPr>
        <w:spacing w:after="0" w:line="36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 xml:space="preserve">Tabla 1.  </w:t>
      </w:r>
    </w:p>
    <w:p w14:paraId="2D24C93E" w14:textId="7BC3F05E" w:rsidR="0044203F" w:rsidRPr="00DA605F" w:rsidRDefault="00586DF7" w:rsidP="00DA605F">
      <w:pPr>
        <w:spacing w:after="0" w:line="360" w:lineRule="auto"/>
        <w:jc w:val="both"/>
        <w:rPr>
          <w:rFonts w:ascii="Times New Roman" w:eastAsia="Times New Roman" w:hAnsi="Times New Roman" w:cs="Times New Roman"/>
          <w:i/>
          <w:iCs/>
          <w:sz w:val="24"/>
          <w:szCs w:val="24"/>
        </w:rPr>
      </w:pPr>
      <w:r w:rsidRPr="00DA605F">
        <w:rPr>
          <w:rFonts w:ascii="Times New Roman" w:eastAsia="Times New Roman" w:hAnsi="Times New Roman" w:cs="Times New Roman"/>
          <w:i/>
          <w:iCs/>
          <w:sz w:val="24"/>
          <w:szCs w:val="24"/>
        </w:rPr>
        <w:t xml:space="preserve">Comparativo: </w:t>
      </w:r>
      <w:r w:rsidR="00DA605F">
        <w:rPr>
          <w:rFonts w:ascii="Times New Roman" w:eastAsia="Times New Roman" w:hAnsi="Times New Roman" w:cs="Times New Roman"/>
          <w:i/>
          <w:iCs/>
          <w:sz w:val="24"/>
          <w:szCs w:val="24"/>
        </w:rPr>
        <w:t>p</w:t>
      </w:r>
      <w:r w:rsidRPr="00DA605F">
        <w:rPr>
          <w:rFonts w:ascii="Times New Roman" w:eastAsia="Times New Roman" w:hAnsi="Times New Roman" w:cs="Times New Roman"/>
          <w:i/>
          <w:iCs/>
          <w:sz w:val="24"/>
          <w:szCs w:val="24"/>
        </w:rPr>
        <w:t xml:space="preserve">alabras </w:t>
      </w:r>
      <w:r w:rsidR="00DA605F">
        <w:rPr>
          <w:rFonts w:ascii="Times New Roman" w:eastAsia="Times New Roman" w:hAnsi="Times New Roman" w:cs="Times New Roman"/>
          <w:i/>
          <w:iCs/>
          <w:sz w:val="24"/>
          <w:szCs w:val="24"/>
        </w:rPr>
        <w:t>c</w:t>
      </w:r>
      <w:r w:rsidRPr="00DA605F">
        <w:rPr>
          <w:rFonts w:ascii="Times New Roman" w:eastAsia="Times New Roman" w:hAnsi="Times New Roman" w:cs="Times New Roman"/>
          <w:i/>
          <w:iCs/>
          <w:sz w:val="24"/>
          <w:szCs w:val="24"/>
        </w:rPr>
        <w:t xml:space="preserve">lave en el </w:t>
      </w:r>
      <w:r w:rsidR="00DA605F">
        <w:rPr>
          <w:rFonts w:ascii="Times New Roman" w:eastAsia="Times New Roman" w:hAnsi="Times New Roman" w:cs="Times New Roman"/>
          <w:i/>
          <w:iCs/>
          <w:sz w:val="24"/>
          <w:szCs w:val="24"/>
        </w:rPr>
        <w:t>d</w:t>
      </w:r>
      <w:r w:rsidRPr="00DA605F">
        <w:rPr>
          <w:rFonts w:ascii="Times New Roman" w:eastAsia="Times New Roman" w:hAnsi="Times New Roman" w:cs="Times New Roman"/>
          <w:i/>
          <w:iCs/>
          <w:sz w:val="24"/>
          <w:szCs w:val="24"/>
        </w:rPr>
        <w:t>iscurso de Petro</w:t>
      </w:r>
    </w:p>
    <w:tbl>
      <w:tblPr>
        <w:tblStyle w:val="a"/>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01"/>
        <w:gridCol w:w="1842"/>
        <w:gridCol w:w="1701"/>
        <w:gridCol w:w="2596"/>
      </w:tblGrid>
      <w:tr w:rsidR="0044203F" w:rsidRPr="000E4E6B" w14:paraId="2D24C944" w14:textId="77777777" w:rsidTr="000244F5">
        <w:tc>
          <w:tcPr>
            <w:tcW w:w="1555" w:type="dxa"/>
          </w:tcPr>
          <w:p w14:paraId="2D24C93F" w14:textId="783308BB" w:rsidR="0044203F" w:rsidRPr="00E301E4" w:rsidRDefault="00586DF7" w:rsidP="00E301E4">
            <w:pPr>
              <w:jc w:val="center"/>
              <w:rPr>
                <w:rFonts w:ascii="Times New Roman" w:eastAsia="Times New Roman" w:hAnsi="Times New Roman" w:cs="Times New Roman"/>
                <w:b/>
                <w:bCs/>
                <w:sz w:val="20"/>
                <w:szCs w:val="20"/>
              </w:rPr>
            </w:pPr>
            <w:bookmarkStart w:id="1" w:name="_Hlk223963688"/>
            <w:r w:rsidRPr="00E301E4">
              <w:rPr>
                <w:rFonts w:ascii="Times New Roman" w:eastAsia="Times New Roman" w:hAnsi="Times New Roman" w:cs="Times New Roman"/>
                <w:b/>
                <w:bCs/>
                <w:sz w:val="20"/>
                <w:szCs w:val="20"/>
              </w:rPr>
              <w:t xml:space="preserve">Palabra </w:t>
            </w:r>
            <w:r w:rsidR="00E301E4" w:rsidRPr="00E301E4">
              <w:rPr>
                <w:rFonts w:ascii="Times New Roman" w:eastAsia="Times New Roman" w:hAnsi="Times New Roman" w:cs="Times New Roman"/>
                <w:b/>
                <w:bCs/>
                <w:sz w:val="20"/>
                <w:szCs w:val="20"/>
              </w:rPr>
              <w:t>clave</w:t>
            </w:r>
          </w:p>
        </w:tc>
        <w:tc>
          <w:tcPr>
            <w:tcW w:w="1701" w:type="dxa"/>
          </w:tcPr>
          <w:p w14:paraId="2D24C940" w14:textId="77777777" w:rsidR="0044203F" w:rsidRPr="00E301E4" w:rsidRDefault="00586DF7"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t>Contexto</w:t>
            </w:r>
          </w:p>
        </w:tc>
        <w:tc>
          <w:tcPr>
            <w:tcW w:w="1842" w:type="dxa"/>
          </w:tcPr>
          <w:p w14:paraId="2D24C941" w14:textId="64931181" w:rsidR="0044203F" w:rsidRPr="00E301E4" w:rsidRDefault="00586DF7"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t xml:space="preserve">Relevancia en el </w:t>
            </w:r>
            <w:r w:rsidR="00E301E4" w:rsidRPr="00E301E4">
              <w:rPr>
                <w:rFonts w:ascii="Times New Roman" w:eastAsia="Times New Roman" w:hAnsi="Times New Roman" w:cs="Times New Roman"/>
                <w:b/>
                <w:bCs/>
                <w:sz w:val="20"/>
                <w:szCs w:val="20"/>
              </w:rPr>
              <w:t>discurso</w:t>
            </w:r>
          </w:p>
        </w:tc>
        <w:tc>
          <w:tcPr>
            <w:tcW w:w="1701" w:type="dxa"/>
          </w:tcPr>
          <w:p w14:paraId="2D24C942" w14:textId="02AB29CA" w:rsidR="0044203F" w:rsidRPr="00E301E4" w:rsidRDefault="00586DF7"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t xml:space="preserve">Conclusión de </w:t>
            </w:r>
            <w:r w:rsidR="00E301E4" w:rsidRPr="00E301E4">
              <w:rPr>
                <w:rFonts w:ascii="Times New Roman" w:eastAsia="Times New Roman" w:hAnsi="Times New Roman" w:cs="Times New Roman"/>
                <w:b/>
                <w:bCs/>
                <w:sz w:val="20"/>
                <w:szCs w:val="20"/>
              </w:rPr>
              <w:t>análisis</w:t>
            </w:r>
          </w:p>
        </w:tc>
        <w:tc>
          <w:tcPr>
            <w:tcW w:w="2596" w:type="dxa"/>
          </w:tcPr>
          <w:p w14:paraId="2D24C943" w14:textId="18168B56" w:rsidR="0044203F" w:rsidRPr="00E301E4" w:rsidRDefault="00586DF7"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t xml:space="preserve">Principales </w:t>
            </w:r>
            <w:r w:rsidR="00E301E4" w:rsidRPr="00E301E4">
              <w:rPr>
                <w:rFonts w:ascii="Times New Roman" w:eastAsia="Times New Roman" w:hAnsi="Times New Roman" w:cs="Times New Roman"/>
                <w:b/>
                <w:bCs/>
                <w:sz w:val="20"/>
                <w:szCs w:val="20"/>
              </w:rPr>
              <w:t>temas asociados</w:t>
            </w:r>
          </w:p>
        </w:tc>
      </w:tr>
      <w:bookmarkEnd w:id="1"/>
      <w:tr w:rsidR="0044203F" w:rsidRPr="000E4E6B" w14:paraId="2D24C94D" w14:textId="77777777" w:rsidTr="000244F5">
        <w:tc>
          <w:tcPr>
            <w:tcW w:w="1555" w:type="dxa"/>
          </w:tcPr>
          <w:p w14:paraId="2D24C945"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Paz Total</w:t>
            </w:r>
          </w:p>
        </w:tc>
        <w:tc>
          <w:tcPr>
            <w:tcW w:w="1701" w:type="dxa"/>
          </w:tcPr>
          <w:p w14:paraId="2D24C946"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Enfatiza que la paz no solo depende de desmovilizar grupos armados, sino de transformar las economías que perpetúan la violencia.</w:t>
            </w:r>
          </w:p>
        </w:tc>
        <w:tc>
          <w:tcPr>
            <w:tcW w:w="1842" w:type="dxa"/>
          </w:tcPr>
          <w:p w14:paraId="2D24C947"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Es una de las políticas centrales del gobierno de Petro, abordando no solo la violencia armada, sino las desigualdades estructurales y la criminalidad económica.</w:t>
            </w:r>
          </w:p>
        </w:tc>
        <w:tc>
          <w:tcPr>
            <w:tcW w:w="1701" w:type="dxa"/>
          </w:tcPr>
          <w:p w14:paraId="2D24C948"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Los discursos enfatizan que la paz no debe ser un simple acuerdo entre grupos armados, sino un cambio estructural que abarque la transformación del Estado y la justicia social.</w:t>
            </w:r>
          </w:p>
          <w:p w14:paraId="2D24C949" w14:textId="77777777" w:rsidR="0044203F" w:rsidRPr="00E301E4" w:rsidRDefault="0044203F" w:rsidP="00E301E4">
            <w:pPr>
              <w:ind w:firstLine="709"/>
              <w:jc w:val="both"/>
              <w:rPr>
                <w:rFonts w:ascii="Times New Roman" w:eastAsia="Times New Roman" w:hAnsi="Times New Roman" w:cs="Times New Roman"/>
                <w:sz w:val="20"/>
                <w:szCs w:val="20"/>
              </w:rPr>
            </w:pPr>
          </w:p>
        </w:tc>
        <w:tc>
          <w:tcPr>
            <w:tcW w:w="2596" w:type="dxa"/>
          </w:tcPr>
          <w:p w14:paraId="2D24C94A"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Transformación estructural</w:t>
            </w:r>
            <w:r w:rsidRPr="00E301E4">
              <w:rPr>
                <w:rFonts w:ascii="Times New Roman" w:eastAsia="Times New Roman" w:hAnsi="Times New Roman" w:cs="Times New Roman"/>
                <w:sz w:val="20"/>
                <w:szCs w:val="20"/>
              </w:rPr>
              <w:t>: El enfoque no es solo pacificar, sino transformar las condiciones económicas y sociales que perpetúan la violencia.</w:t>
            </w:r>
          </w:p>
          <w:p w14:paraId="2D24C94B" w14:textId="77777777" w:rsidR="0044203F" w:rsidRPr="00E301E4" w:rsidRDefault="0044203F" w:rsidP="00E301E4">
            <w:pPr>
              <w:ind w:firstLine="709"/>
              <w:jc w:val="both"/>
              <w:rPr>
                <w:rFonts w:ascii="Times New Roman" w:eastAsia="Times New Roman" w:hAnsi="Times New Roman" w:cs="Times New Roman"/>
                <w:sz w:val="20"/>
                <w:szCs w:val="20"/>
              </w:rPr>
            </w:pPr>
          </w:p>
          <w:p w14:paraId="2D24C94C"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Inclusión:</w:t>
            </w:r>
            <w:r w:rsidRPr="00E301E4">
              <w:rPr>
                <w:rFonts w:ascii="Times New Roman" w:eastAsia="Times New Roman" w:hAnsi="Times New Roman" w:cs="Times New Roman"/>
                <w:sz w:val="20"/>
                <w:szCs w:val="20"/>
              </w:rPr>
              <w:t xml:space="preserve"> Se menciona la necesidad de incluir a diferentes actores, desde campesinos hasta grupos minoritarios, para asegurar que la paz tenga un impacto real en todas las comunidades afectadas por el conflicto.</w:t>
            </w:r>
          </w:p>
        </w:tc>
      </w:tr>
      <w:tr w:rsidR="0044203F" w:rsidRPr="000E4E6B" w14:paraId="2D24C955" w14:textId="77777777" w:rsidTr="000244F5">
        <w:tc>
          <w:tcPr>
            <w:tcW w:w="1555" w:type="dxa"/>
          </w:tcPr>
          <w:p w14:paraId="2D24C94E"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Seguridad</w:t>
            </w:r>
          </w:p>
        </w:tc>
        <w:tc>
          <w:tcPr>
            <w:tcW w:w="1701" w:type="dxa"/>
          </w:tcPr>
          <w:p w14:paraId="2D24C94F"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Contrapone esta visión a políticas de seguridad tradicionales que se centraban en la represión y en el control militar.</w:t>
            </w:r>
          </w:p>
        </w:tc>
        <w:tc>
          <w:tcPr>
            <w:tcW w:w="1842" w:type="dxa"/>
          </w:tcPr>
          <w:p w14:paraId="2D24C950"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La seguridad humana se considera fundamental para garantizar la vida y los derechos de las personas, superando enfoques militaristas de seguridad.</w:t>
            </w:r>
          </w:p>
        </w:tc>
        <w:tc>
          <w:tcPr>
            <w:tcW w:w="1701" w:type="dxa"/>
          </w:tcPr>
          <w:p w14:paraId="2D24C951"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Se aborda desde una perspectiva integral, destacando que no solo es una cuestión de fuerza pública, sino de acceso a servicios básicos y garantías para la población.</w:t>
            </w:r>
          </w:p>
        </w:tc>
        <w:tc>
          <w:tcPr>
            <w:tcW w:w="2596" w:type="dxa"/>
          </w:tcPr>
          <w:p w14:paraId="2D24C953" w14:textId="12188BA6"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Seguridad Humana:</w:t>
            </w:r>
            <w:r w:rsidRPr="00E301E4">
              <w:rPr>
                <w:rFonts w:ascii="Times New Roman" w:eastAsia="Times New Roman" w:hAnsi="Times New Roman" w:cs="Times New Roman"/>
                <w:sz w:val="20"/>
                <w:szCs w:val="20"/>
              </w:rPr>
              <w:t xml:space="preserve"> Se prioriza la seguridad desde un enfoque holístico, donde la ausencia de violencia es solo un aspecto y la seguridad social y económica son fundamentales.</w:t>
            </w:r>
          </w:p>
          <w:p w14:paraId="2D24C954" w14:textId="77777777" w:rsidR="0044203F" w:rsidRPr="00E301E4" w:rsidRDefault="00586DF7" w:rsidP="00E301E4">
            <w:pPr>
              <w:jc w:val="both"/>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Desmilitarización:</w:t>
            </w:r>
            <w:r w:rsidRPr="00E301E4">
              <w:rPr>
                <w:rFonts w:ascii="Times New Roman" w:eastAsia="Times New Roman" w:hAnsi="Times New Roman" w:cs="Times New Roman"/>
                <w:sz w:val="20"/>
                <w:szCs w:val="20"/>
              </w:rPr>
              <w:t xml:space="preserve"> Crítica a las políticas de seguridad militarizadas y enfoque en políticas que fortalezcan la presencia del Estado en términos de servicios sociales.</w:t>
            </w:r>
          </w:p>
        </w:tc>
      </w:tr>
      <w:tr w:rsidR="00E301E4" w:rsidRPr="000E4E6B" w14:paraId="4F1DF3EB" w14:textId="77777777" w:rsidTr="000244F5">
        <w:tc>
          <w:tcPr>
            <w:tcW w:w="1555" w:type="dxa"/>
          </w:tcPr>
          <w:p w14:paraId="4FB881BA" w14:textId="1A88EDD4" w:rsidR="00E301E4" w:rsidRPr="00E301E4" w:rsidRDefault="00E301E4"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lastRenderedPageBreak/>
              <w:t xml:space="preserve">Palabra </w:t>
            </w:r>
            <w:r>
              <w:rPr>
                <w:rFonts w:ascii="Times New Roman" w:eastAsia="Times New Roman" w:hAnsi="Times New Roman" w:cs="Times New Roman"/>
                <w:b/>
                <w:bCs/>
                <w:sz w:val="20"/>
                <w:szCs w:val="20"/>
              </w:rPr>
              <w:t>c</w:t>
            </w:r>
            <w:r w:rsidRPr="00E301E4">
              <w:rPr>
                <w:rFonts w:ascii="Times New Roman" w:eastAsia="Times New Roman" w:hAnsi="Times New Roman" w:cs="Times New Roman"/>
                <w:b/>
                <w:bCs/>
                <w:sz w:val="20"/>
                <w:szCs w:val="20"/>
              </w:rPr>
              <w:t>lave</w:t>
            </w:r>
          </w:p>
        </w:tc>
        <w:tc>
          <w:tcPr>
            <w:tcW w:w="1701" w:type="dxa"/>
          </w:tcPr>
          <w:p w14:paraId="7455937C" w14:textId="32B9C3A1" w:rsidR="00E301E4" w:rsidRPr="00E301E4" w:rsidRDefault="00E301E4" w:rsidP="00E301E4">
            <w:pPr>
              <w:jc w:val="cente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Contexto</w:t>
            </w:r>
          </w:p>
        </w:tc>
        <w:tc>
          <w:tcPr>
            <w:tcW w:w="1842" w:type="dxa"/>
          </w:tcPr>
          <w:p w14:paraId="1207F0DD" w14:textId="5641636B" w:rsidR="00E301E4" w:rsidRPr="00E301E4" w:rsidRDefault="00E301E4" w:rsidP="00E301E4">
            <w:pPr>
              <w:jc w:val="cente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Relevancia en el</w:t>
            </w:r>
            <w:r>
              <w:rPr>
                <w:rFonts w:ascii="Times New Roman" w:eastAsia="Times New Roman" w:hAnsi="Times New Roman" w:cs="Times New Roman"/>
                <w:b/>
                <w:bCs/>
                <w:sz w:val="20"/>
                <w:szCs w:val="20"/>
              </w:rPr>
              <w:t xml:space="preserve"> d</w:t>
            </w:r>
            <w:r w:rsidRPr="00E301E4">
              <w:rPr>
                <w:rFonts w:ascii="Times New Roman" w:eastAsia="Times New Roman" w:hAnsi="Times New Roman" w:cs="Times New Roman"/>
                <w:b/>
                <w:bCs/>
                <w:sz w:val="20"/>
                <w:szCs w:val="20"/>
              </w:rPr>
              <w:t>iscurso</w:t>
            </w:r>
          </w:p>
        </w:tc>
        <w:tc>
          <w:tcPr>
            <w:tcW w:w="1701" w:type="dxa"/>
          </w:tcPr>
          <w:p w14:paraId="55B008A7" w14:textId="4C5F6548" w:rsidR="00E301E4" w:rsidRPr="00E301E4" w:rsidRDefault="00E301E4" w:rsidP="00E301E4">
            <w:pPr>
              <w:jc w:val="cente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 xml:space="preserve">Conclusión de </w:t>
            </w:r>
            <w:r>
              <w:rPr>
                <w:rFonts w:ascii="Times New Roman" w:eastAsia="Times New Roman" w:hAnsi="Times New Roman" w:cs="Times New Roman"/>
                <w:b/>
                <w:bCs/>
                <w:sz w:val="20"/>
                <w:szCs w:val="20"/>
              </w:rPr>
              <w:t>a</w:t>
            </w:r>
            <w:r w:rsidRPr="00E301E4">
              <w:rPr>
                <w:rFonts w:ascii="Times New Roman" w:eastAsia="Times New Roman" w:hAnsi="Times New Roman" w:cs="Times New Roman"/>
                <w:b/>
                <w:bCs/>
                <w:sz w:val="20"/>
                <w:szCs w:val="20"/>
              </w:rPr>
              <w:t>nálisis</w:t>
            </w:r>
          </w:p>
        </w:tc>
        <w:tc>
          <w:tcPr>
            <w:tcW w:w="2596" w:type="dxa"/>
          </w:tcPr>
          <w:p w14:paraId="5D48DB9D" w14:textId="6FDAA052" w:rsidR="00E301E4" w:rsidRPr="00E301E4" w:rsidRDefault="00E301E4" w:rsidP="00E301E4">
            <w:pPr>
              <w:jc w:val="center"/>
              <w:rPr>
                <w:rFonts w:ascii="Times New Roman" w:eastAsia="Times New Roman" w:hAnsi="Times New Roman" w:cs="Times New Roman"/>
                <w:b/>
                <w:bCs/>
                <w:sz w:val="20"/>
                <w:szCs w:val="20"/>
              </w:rPr>
            </w:pPr>
            <w:r w:rsidRPr="00E301E4">
              <w:rPr>
                <w:rFonts w:ascii="Times New Roman" w:eastAsia="Times New Roman" w:hAnsi="Times New Roman" w:cs="Times New Roman"/>
                <w:b/>
                <w:bCs/>
                <w:sz w:val="20"/>
                <w:szCs w:val="20"/>
              </w:rPr>
              <w:t xml:space="preserve">Principales </w:t>
            </w:r>
            <w:r>
              <w:rPr>
                <w:rFonts w:ascii="Times New Roman" w:eastAsia="Times New Roman" w:hAnsi="Times New Roman" w:cs="Times New Roman"/>
                <w:b/>
                <w:bCs/>
                <w:sz w:val="20"/>
                <w:szCs w:val="20"/>
              </w:rPr>
              <w:t>t</w:t>
            </w:r>
            <w:r w:rsidRPr="00E301E4">
              <w:rPr>
                <w:rFonts w:ascii="Times New Roman" w:eastAsia="Times New Roman" w:hAnsi="Times New Roman" w:cs="Times New Roman"/>
                <w:b/>
                <w:bCs/>
                <w:sz w:val="20"/>
                <w:szCs w:val="20"/>
              </w:rPr>
              <w:t xml:space="preserve">emas </w:t>
            </w:r>
            <w:r>
              <w:rPr>
                <w:rFonts w:ascii="Times New Roman" w:eastAsia="Times New Roman" w:hAnsi="Times New Roman" w:cs="Times New Roman"/>
                <w:b/>
                <w:bCs/>
                <w:sz w:val="20"/>
                <w:szCs w:val="20"/>
              </w:rPr>
              <w:t>a</w:t>
            </w:r>
            <w:r w:rsidRPr="00E301E4">
              <w:rPr>
                <w:rFonts w:ascii="Times New Roman" w:eastAsia="Times New Roman" w:hAnsi="Times New Roman" w:cs="Times New Roman"/>
                <w:b/>
                <w:bCs/>
                <w:sz w:val="20"/>
                <w:szCs w:val="20"/>
              </w:rPr>
              <w:t>sociados</w:t>
            </w:r>
          </w:p>
        </w:tc>
      </w:tr>
      <w:tr w:rsidR="00E301E4" w:rsidRPr="000E4E6B" w14:paraId="2D24C95D" w14:textId="77777777" w:rsidTr="000244F5">
        <w:tc>
          <w:tcPr>
            <w:tcW w:w="1555" w:type="dxa"/>
          </w:tcPr>
          <w:p w14:paraId="2D24C956" w14:textId="1E65C656"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Criminalidad</w:t>
            </w:r>
          </w:p>
        </w:tc>
        <w:tc>
          <w:tcPr>
            <w:tcW w:w="1701" w:type="dxa"/>
          </w:tcPr>
          <w:p w14:paraId="2D24C957" w14:textId="77777777"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Los antiguos guerrilleros se han convertido en actores criminales tras la firma de la paz, complicando el panorama de seguridad interna.</w:t>
            </w:r>
          </w:p>
        </w:tc>
        <w:tc>
          <w:tcPr>
            <w:tcW w:w="1842" w:type="dxa"/>
          </w:tcPr>
          <w:p w14:paraId="2D24C958" w14:textId="77777777"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La criminalidad es vista como un nuevo reto en la fase actual del conflicto, destacando la necesidad de transformar las economías ilegales en lícitas.</w:t>
            </w:r>
          </w:p>
        </w:tc>
        <w:tc>
          <w:tcPr>
            <w:tcW w:w="1701" w:type="dxa"/>
          </w:tcPr>
          <w:p w14:paraId="2D24C959" w14:textId="77777777"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sz w:val="20"/>
                <w:szCs w:val="20"/>
              </w:rPr>
              <w:t>La criminalidad se percibe como consecuencia de la falta de oportunidades y la corrupción. Se enfatiza la necesidad de políticas que generen alternativas sociales y económicas.</w:t>
            </w:r>
          </w:p>
        </w:tc>
        <w:tc>
          <w:tcPr>
            <w:tcW w:w="2596" w:type="dxa"/>
          </w:tcPr>
          <w:p w14:paraId="2D24C95A" w14:textId="77777777"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Economías Ilícitas:</w:t>
            </w:r>
            <w:r w:rsidRPr="00E301E4">
              <w:rPr>
                <w:rFonts w:ascii="Times New Roman" w:eastAsia="Times New Roman" w:hAnsi="Times New Roman" w:cs="Times New Roman"/>
                <w:sz w:val="20"/>
                <w:szCs w:val="20"/>
              </w:rPr>
              <w:t xml:space="preserve"> La transformación de economías ilegales a legales es vista como un eje central para reducir la criminalidad.</w:t>
            </w:r>
          </w:p>
          <w:p w14:paraId="2D24C95B" w14:textId="77777777" w:rsidR="00E301E4" w:rsidRPr="00E301E4" w:rsidRDefault="00E301E4" w:rsidP="00E301E4">
            <w:pPr>
              <w:ind w:firstLine="709"/>
              <w:rPr>
                <w:rFonts w:ascii="Times New Roman" w:eastAsia="Times New Roman" w:hAnsi="Times New Roman" w:cs="Times New Roman"/>
                <w:sz w:val="20"/>
                <w:szCs w:val="20"/>
              </w:rPr>
            </w:pPr>
          </w:p>
          <w:p w14:paraId="2D24C95C" w14:textId="77777777" w:rsidR="00E301E4" w:rsidRPr="00E301E4" w:rsidRDefault="00E301E4" w:rsidP="00E301E4">
            <w:pPr>
              <w:rPr>
                <w:rFonts w:ascii="Times New Roman" w:eastAsia="Times New Roman" w:hAnsi="Times New Roman" w:cs="Times New Roman"/>
                <w:sz w:val="20"/>
                <w:szCs w:val="20"/>
              </w:rPr>
            </w:pPr>
            <w:r w:rsidRPr="00E301E4">
              <w:rPr>
                <w:rFonts w:ascii="Times New Roman" w:eastAsia="Times New Roman" w:hAnsi="Times New Roman" w:cs="Times New Roman"/>
                <w:b/>
                <w:bCs/>
                <w:sz w:val="20"/>
                <w:szCs w:val="20"/>
              </w:rPr>
              <w:t>Exclusión Social:</w:t>
            </w:r>
            <w:r w:rsidRPr="00E301E4">
              <w:rPr>
                <w:rFonts w:ascii="Times New Roman" w:eastAsia="Times New Roman" w:hAnsi="Times New Roman" w:cs="Times New Roman"/>
                <w:sz w:val="20"/>
                <w:szCs w:val="20"/>
              </w:rPr>
              <w:t xml:space="preserve"> Se relaciona directamente con la criminalidad, indicando que la falta de acceso a oportunidades lleva a muchos jóvenes a caer en actividades ilícitas.</w:t>
            </w:r>
          </w:p>
        </w:tc>
      </w:tr>
      <w:tr w:rsidR="00E301E4" w:rsidRPr="000E4E6B" w14:paraId="2D24C965" w14:textId="77777777" w:rsidTr="000244F5">
        <w:trPr>
          <w:trHeight w:val="264"/>
        </w:trPr>
        <w:tc>
          <w:tcPr>
            <w:tcW w:w="1555" w:type="dxa"/>
          </w:tcPr>
          <w:p w14:paraId="2D24C95E"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b/>
                <w:bCs/>
                <w:sz w:val="18"/>
                <w:szCs w:val="18"/>
              </w:rPr>
              <w:t>Tren de Aragua</w:t>
            </w:r>
          </w:p>
        </w:tc>
        <w:tc>
          <w:tcPr>
            <w:tcW w:w="1701" w:type="dxa"/>
          </w:tcPr>
          <w:p w14:paraId="2D24C95F"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sz w:val="18"/>
                <w:szCs w:val="18"/>
              </w:rPr>
              <w:t>Se vincula mediante un camión con explosivos, evidenciando la penetración de grupos criminales transnacionales en Colombia.</w:t>
            </w:r>
          </w:p>
        </w:tc>
        <w:tc>
          <w:tcPr>
            <w:tcW w:w="1842" w:type="dxa"/>
          </w:tcPr>
          <w:p w14:paraId="2D24C960"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sz w:val="18"/>
                <w:szCs w:val="18"/>
              </w:rPr>
              <w:t>Resalta el desafío de enfrentar la criminalidad transnacional, que no solo afecta a la población, sino también amenaza a las instituciones estatales y la estabilidad política.</w:t>
            </w:r>
          </w:p>
        </w:tc>
        <w:tc>
          <w:tcPr>
            <w:tcW w:w="1701" w:type="dxa"/>
          </w:tcPr>
          <w:p w14:paraId="2D24C961"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sz w:val="18"/>
                <w:szCs w:val="18"/>
              </w:rPr>
              <w:t>Este grupo es visto como un síntoma de la debilidad Estatal en ciertas regiones y la falta de control territorial por parte del gobierno.</w:t>
            </w:r>
          </w:p>
        </w:tc>
        <w:tc>
          <w:tcPr>
            <w:tcW w:w="2596" w:type="dxa"/>
          </w:tcPr>
          <w:p w14:paraId="2D24C962"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b/>
                <w:bCs/>
                <w:sz w:val="18"/>
                <w:szCs w:val="18"/>
              </w:rPr>
              <w:t>Amenazas Directas</w:t>
            </w:r>
            <w:r w:rsidRPr="000E4E6B">
              <w:rPr>
                <w:rFonts w:ascii="Times New Roman" w:eastAsia="Times New Roman" w:hAnsi="Times New Roman" w:cs="Times New Roman"/>
                <w:sz w:val="18"/>
                <w:szCs w:val="18"/>
              </w:rPr>
              <w:t>: Se menciona en relación con la planificación de atentados y amenazas a la vida del presidente y su familia.</w:t>
            </w:r>
          </w:p>
          <w:p w14:paraId="2D24C963" w14:textId="77777777" w:rsidR="00E301E4" w:rsidRPr="000E4E6B" w:rsidRDefault="00E301E4" w:rsidP="00E301E4">
            <w:pPr>
              <w:ind w:firstLine="709"/>
              <w:rPr>
                <w:rFonts w:ascii="Times New Roman" w:eastAsia="Times New Roman" w:hAnsi="Times New Roman" w:cs="Times New Roman"/>
                <w:sz w:val="18"/>
                <w:szCs w:val="18"/>
              </w:rPr>
            </w:pPr>
          </w:p>
          <w:p w14:paraId="2D24C964" w14:textId="77777777" w:rsidR="00E301E4" w:rsidRPr="000E4E6B" w:rsidRDefault="00E301E4" w:rsidP="00E301E4">
            <w:pPr>
              <w:rPr>
                <w:rFonts w:ascii="Times New Roman" w:eastAsia="Times New Roman" w:hAnsi="Times New Roman" w:cs="Times New Roman"/>
                <w:sz w:val="18"/>
                <w:szCs w:val="18"/>
              </w:rPr>
            </w:pPr>
            <w:r w:rsidRPr="000E4E6B">
              <w:rPr>
                <w:rFonts w:ascii="Times New Roman" w:eastAsia="Times New Roman" w:hAnsi="Times New Roman" w:cs="Times New Roman"/>
                <w:b/>
                <w:bCs/>
                <w:sz w:val="18"/>
                <w:szCs w:val="18"/>
              </w:rPr>
              <w:t>Criminalidad Transnacional</w:t>
            </w:r>
            <w:r w:rsidRPr="000E4E6B">
              <w:rPr>
                <w:rFonts w:ascii="Times New Roman" w:eastAsia="Times New Roman" w:hAnsi="Times New Roman" w:cs="Times New Roman"/>
                <w:sz w:val="18"/>
                <w:szCs w:val="18"/>
              </w:rPr>
              <w:t>: Refleja cómo la criminalidad en Colombia no es un fenómeno aislado, sino que está conectada con redes internacionales</w:t>
            </w:r>
          </w:p>
        </w:tc>
      </w:tr>
    </w:tbl>
    <w:p w14:paraId="2D24C966" w14:textId="30AE0CB5" w:rsidR="0044203F" w:rsidRPr="00ED2EFB" w:rsidRDefault="00DA605F">
      <w:pPr>
        <w:spacing w:after="0" w:line="360" w:lineRule="auto"/>
        <w:rPr>
          <w:rFonts w:ascii="Times New Roman" w:eastAsia="Times New Roman" w:hAnsi="Times New Roman" w:cs="Times New Roman"/>
          <w:sz w:val="24"/>
          <w:szCs w:val="24"/>
        </w:rPr>
      </w:pPr>
      <w:r w:rsidRPr="00DA605F">
        <w:rPr>
          <w:rFonts w:ascii="Times New Roman" w:eastAsia="Times New Roman" w:hAnsi="Times New Roman" w:cs="Times New Roman"/>
          <w:i/>
          <w:iCs/>
          <w:sz w:val="24"/>
          <w:szCs w:val="24"/>
        </w:rPr>
        <w:t>Nota</w:t>
      </w:r>
      <w:r w:rsidR="00586DF7" w:rsidRPr="00ED2EFB">
        <w:rPr>
          <w:rFonts w:ascii="Times New Roman" w:eastAsia="Times New Roman" w:hAnsi="Times New Roman" w:cs="Times New Roman"/>
          <w:sz w:val="24"/>
          <w:szCs w:val="24"/>
        </w:rPr>
        <w:t xml:space="preserve">: </w:t>
      </w:r>
      <w:r w:rsidR="008F03F4">
        <w:rPr>
          <w:rFonts w:ascii="Times New Roman" w:eastAsia="Times New Roman" w:hAnsi="Times New Roman" w:cs="Times New Roman"/>
          <w:sz w:val="24"/>
          <w:szCs w:val="24"/>
        </w:rPr>
        <w:t>e</w:t>
      </w:r>
      <w:r w:rsidR="00586DF7" w:rsidRPr="00ED2EFB">
        <w:rPr>
          <w:rFonts w:ascii="Times New Roman" w:eastAsia="Times New Roman" w:hAnsi="Times New Roman" w:cs="Times New Roman"/>
          <w:sz w:val="24"/>
          <w:szCs w:val="24"/>
        </w:rPr>
        <w:t xml:space="preserve">laboración </w:t>
      </w:r>
      <w:r w:rsidR="00CA29B7">
        <w:rPr>
          <w:rFonts w:ascii="Times New Roman" w:eastAsia="Times New Roman" w:hAnsi="Times New Roman" w:cs="Times New Roman"/>
          <w:sz w:val="24"/>
          <w:szCs w:val="24"/>
        </w:rPr>
        <w:t>p</w:t>
      </w:r>
      <w:r w:rsidR="00586DF7" w:rsidRPr="00ED2EFB">
        <w:rPr>
          <w:rFonts w:ascii="Times New Roman" w:eastAsia="Times New Roman" w:hAnsi="Times New Roman" w:cs="Times New Roman"/>
          <w:sz w:val="24"/>
          <w:szCs w:val="24"/>
        </w:rPr>
        <w:t>ropia</w:t>
      </w:r>
      <w:r w:rsidR="008F03F4">
        <w:rPr>
          <w:rFonts w:ascii="Times New Roman" w:eastAsia="Times New Roman" w:hAnsi="Times New Roman" w:cs="Times New Roman"/>
          <w:sz w:val="24"/>
          <w:szCs w:val="24"/>
        </w:rPr>
        <w:t>.</w:t>
      </w:r>
    </w:p>
    <w:p w14:paraId="44C29202" w14:textId="77777777" w:rsidR="004D671E"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Este análisis de las palabras clave subraya cómo el discurso de Petro articula una visión de paz y seguridad que aboga por la transformación estructural del Estado y una reconfiguración de las estrategias tradicionales de seguridad para enfrentar las nuevas dinámicas del conflicto. </w:t>
      </w:r>
    </w:p>
    <w:p w14:paraId="2D24C968" w14:textId="3B22E546"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Su enfoque reconoce que la paz sostenible requiere más que la desmovilización de grupos armados; implica la redistribución equitativa de la tierra, la inclusión social, el acceso a oportunidades y la construcción de un Estado que garantice los derechos fundamentales de todos sus ciudadanos. Al redefinir la seguridad y abordar la criminalidad desde sus causas estructurales, Petro busca generar un cambio duradero que prevenga futuros ciclos de violencia.</w:t>
      </w:r>
    </w:p>
    <w:p w14:paraId="2D24C96B" w14:textId="28AD4304" w:rsidR="0044203F" w:rsidRPr="00ED2EFB" w:rsidRDefault="00586DF7" w:rsidP="000244F5">
      <w:pPr>
        <w:spacing w:after="0" w:line="36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Discusión</w:t>
      </w:r>
    </w:p>
    <w:p w14:paraId="666EA7A5" w14:textId="77777777" w:rsidR="00895F68" w:rsidRDefault="00586DF7" w:rsidP="00033148">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En términos de comunicación gubernamental el presidente Petro ha adoptado una estrategia de comunicación directa, utilizando principalmente redes sociales como Twitter para exponer su visión y responder a los avances de la política de Paz Total. Esta narrativa se caracteriza por ser </w:t>
      </w:r>
      <w:r w:rsidR="0034717F" w:rsidRPr="00ED2EFB">
        <w:rPr>
          <w:rFonts w:ascii="Times New Roman" w:eastAsia="Times New Roman" w:hAnsi="Times New Roman" w:cs="Times New Roman"/>
          <w:sz w:val="24"/>
          <w:szCs w:val="24"/>
        </w:rPr>
        <w:t>confrontativa</w:t>
      </w:r>
      <w:r w:rsidRPr="00ED2EFB">
        <w:rPr>
          <w:rFonts w:ascii="Times New Roman" w:eastAsia="Times New Roman" w:hAnsi="Times New Roman" w:cs="Times New Roman"/>
          <w:sz w:val="24"/>
          <w:szCs w:val="24"/>
        </w:rPr>
        <w:t xml:space="preserve">, en línea con su historial político como líder de oposición. Sin embargo, esta estrategia también ha generado desafíos, al desconocer los efectos de las alocuciones presidenciales y los pronunciamientos que hace como jefe de gobierno. </w:t>
      </w:r>
    </w:p>
    <w:p w14:paraId="2D24C96C" w14:textId="558EE832" w:rsidR="0044203F" w:rsidRDefault="00586DF7" w:rsidP="00033148">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 xml:space="preserve">Al priorizar un discurso directo y emocional, el presidente ha enfrentado críticas por polarizar aún más a la sociedad y deslegitimar a los medios tradicionales, lo que contribuye a un ambiente de desconfianza. </w:t>
      </w:r>
    </w:p>
    <w:p w14:paraId="75E7796A" w14:textId="77777777" w:rsidR="008F03F4" w:rsidRDefault="00586DF7" w:rsidP="000823C6">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En este contexto, la emocionalidad pública juega un rol crucial (Nussbaum, 2013). Al respecto algunas investigaciones sobre las emociones públicas y la gobernanza revelan el importante papel de las orientaciones emocionales colectivas en la configuración del discurso político y la movilización social. Los estudios han identificado emociones como la ira, la indignación y el odio hacia los grupos armados como obstáculos para la consolidación de la paz (Gómez et al., 2019). En dicho sentido la movilización emocional desempeña aún un papel crucial tras el plebiscito de paz de 2016 (Perilla-Daza, 2018) y la desconexión entre el gobierno y los ciudadanos (Jiménez, 2023). </w:t>
      </w:r>
    </w:p>
    <w:p w14:paraId="0F73A450" w14:textId="77777777" w:rsidR="00CA29B7" w:rsidRDefault="00586DF7" w:rsidP="004D671E">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Es así como las narrativas tanto mediáticas como gubernamentales apelan constantemente a emociones como el miedo, la esperanza y la indignación.</w:t>
      </w:r>
      <w:r w:rsidR="00E55E2C">
        <w:rPr>
          <w:rFonts w:ascii="Times New Roman" w:eastAsia="Times New Roman" w:hAnsi="Times New Roman" w:cs="Times New Roman"/>
          <w:sz w:val="24"/>
          <w:szCs w:val="24"/>
        </w:rPr>
        <w:t xml:space="preserve"> A </w:t>
      </w:r>
      <w:r w:rsidR="002451E6">
        <w:rPr>
          <w:rFonts w:ascii="Times New Roman" w:eastAsia="Times New Roman" w:hAnsi="Times New Roman" w:cs="Times New Roman"/>
          <w:sz w:val="24"/>
          <w:szCs w:val="24"/>
        </w:rPr>
        <w:t>estos ecosistemas</w:t>
      </w:r>
      <w:r w:rsidR="00E55E2C">
        <w:rPr>
          <w:rFonts w:ascii="Times New Roman" w:eastAsia="Times New Roman" w:hAnsi="Times New Roman" w:cs="Times New Roman"/>
          <w:sz w:val="24"/>
          <w:szCs w:val="24"/>
        </w:rPr>
        <w:t xml:space="preserve"> se le suman las propias narrativas</w:t>
      </w:r>
      <w:r w:rsidR="000776D5">
        <w:rPr>
          <w:rFonts w:ascii="Times New Roman" w:eastAsia="Times New Roman" w:hAnsi="Times New Roman" w:cs="Times New Roman"/>
          <w:sz w:val="24"/>
          <w:szCs w:val="24"/>
        </w:rPr>
        <w:t xml:space="preserve"> digitales de los actores criminales transnacionales, quienes utilizan plataformas como TikTok </w:t>
      </w:r>
      <w:r w:rsidR="005049E1">
        <w:rPr>
          <w:rFonts w:ascii="Times New Roman" w:eastAsia="Times New Roman" w:hAnsi="Times New Roman" w:cs="Times New Roman"/>
          <w:sz w:val="24"/>
          <w:szCs w:val="24"/>
        </w:rPr>
        <w:t xml:space="preserve">para construir una marca criminal, legitimar su presencia y desafiar la soberanía estatal mediante la </w:t>
      </w:r>
      <w:proofErr w:type="spellStart"/>
      <w:r w:rsidR="005049E1">
        <w:rPr>
          <w:rFonts w:ascii="Times New Roman" w:eastAsia="Times New Roman" w:hAnsi="Times New Roman" w:cs="Times New Roman"/>
          <w:sz w:val="24"/>
          <w:szCs w:val="24"/>
        </w:rPr>
        <w:t>espectacularización</w:t>
      </w:r>
      <w:proofErr w:type="spellEnd"/>
      <w:r w:rsidR="005049E1">
        <w:rPr>
          <w:rFonts w:ascii="Times New Roman" w:eastAsia="Times New Roman" w:hAnsi="Times New Roman" w:cs="Times New Roman"/>
          <w:sz w:val="24"/>
          <w:szCs w:val="24"/>
        </w:rPr>
        <w:t xml:space="preserve"> de la violencia </w:t>
      </w:r>
      <w:proofErr w:type="gramStart"/>
      <w:r w:rsidR="005049E1">
        <w:rPr>
          <w:rFonts w:ascii="Times New Roman" w:eastAsia="Times New Roman" w:hAnsi="Times New Roman" w:cs="Times New Roman"/>
          <w:sz w:val="24"/>
          <w:szCs w:val="24"/>
        </w:rPr>
        <w:t>( Erazo</w:t>
      </w:r>
      <w:proofErr w:type="gramEnd"/>
      <w:r w:rsidR="005049E1">
        <w:rPr>
          <w:rFonts w:ascii="Times New Roman" w:eastAsia="Times New Roman" w:hAnsi="Times New Roman" w:cs="Times New Roman"/>
          <w:sz w:val="24"/>
          <w:szCs w:val="24"/>
        </w:rPr>
        <w:t>-Patiño et</w:t>
      </w:r>
      <w:r w:rsidR="002451E6">
        <w:rPr>
          <w:rFonts w:ascii="Times New Roman" w:eastAsia="Times New Roman" w:hAnsi="Times New Roman" w:cs="Times New Roman"/>
          <w:sz w:val="24"/>
          <w:szCs w:val="24"/>
        </w:rPr>
        <w:t xml:space="preserve"> al.,2025).</w:t>
      </w:r>
      <w:r w:rsidRPr="00ED2EFB">
        <w:rPr>
          <w:rFonts w:ascii="Times New Roman" w:eastAsia="Times New Roman" w:hAnsi="Times New Roman" w:cs="Times New Roman"/>
          <w:sz w:val="24"/>
          <w:szCs w:val="24"/>
        </w:rPr>
        <w:t xml:space="preserve"> </w:t>
      </w:r>
    </w:p>
    <w:p w14:paraId="23D891BC" w14:textId="202A3D05" w:rsidR="003E3411" w:rsidRDefault="00586DF7" w:rsidP="004D671E">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Mientras los medios destacan la incertidumbre y el riesgo, Petro busca movilizar la esperanza de un cambio estructural. Este juego de emociones influye directamente en la percepción de los ciudadanos, exacerbando las divisiones sociales y condicionando el apoyo o rechazo a las políticas del gobierno. </w:t>
      </w:r>
    </w:p>
    <w:p w14:paraId="470066CF" w14:textId="62734D14" w:rsidR="003E3411" w:rsidRPr="00CA29B7" w:rsidRDefault="00586DF7" w:rsidP="00CA29B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La clave para avanzar hacia una cohesión social más sólida radica en equilibrar estas narrativas, fomentando un debate informado y menos polarizado que permita a la ciudadanía tomar decisiones basadas en hechos, más allá de las emociones inmediatas. </w:t>
      </w:r>
    </w:p>
    <w:p w14:paraId="798212AD" w14:textId="756941D5" w:rsidR="008F03F4" w:rsidRDefault="00586DF7" w:rsidP="004D671E">
      <w:pPr>
        <w:spacing w:after="0" w:line="360" w:lineRule="auto"/>
        <w:jc w:val="both"/>
        <w:rPr>
          <w:rFonts w:ascii="Times New Roman" w:eastAsia="Times New Roman" w:hAnsi="Times New Roman" w:cs="Times New Roman"/>
          <w:sz w:val="24"/>
          <w:szCs w:val="24"/>
        </w:rPr>
      </w:pPr>
      <w:r w:rsidRPr="000244F5">
        <w:rPr>
          <w:rFonts w:ascii="Times New Roman" w:eastAsia="Times New Roman" w:hAnsi="Times New Roman" w:cs="Times New Roman"/>
          <w:b/>
          <w:bCs/>
          <w:sz w:val="24"/>
          <w:szCs w:val="24"/>
        </w:rPr>
        <w:t>Cooperación y lucha del gobierno colombiano contra el Tren de Aragua</w:t>
      </w:r>
    </w:p>
    <w:p w14:paraId="449E1B82" w14:textId="77777777" w:rsidR="00895F68" w:rsidRDefault="00586DF7" w:rsidP="008F03F4">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El gobierno colombiano no ha tenido en cuenta, como se ha analizado a través de los discursos del presidente Gustavo Petro, una racionalización dentro de su política de Paz Total las expresiones del COT, las cuales, si bien se explican por variables domésticas, tienen un alcance transnacional. Esto muestra que mientras el discurso del gobierno y las instituciones domésticas no estén coordinadas frente a la interpretación de las amenazas criminales transnacionales, lo cual es </w:t>
      </w:r>
      <w:r w:rsidR="006E66EC">
        <w:rPr>
          <w:rFonts w:ascii="Times New Roman" w:eastAsia="Times New Roman" w:hAnsi="Times New Roman" w:cs="Times New Roman"/>
          <w:sz w:val="24"/>
          <w:szCs w:val="24"/>
        </w:rPr>
        <w:t>importante</w:t>
      </w:r>
      <w:r w:rsidRPr="00ED2EFB">
        <w:rPr>
          <w:rFonts w:ascii="Times New Roman" w:eastAsia="Times New Roman" w:hAnsi="Times New Roman" w:cs="Times New Roman"/>
          <w:sz w:val="24"/>
          <w:szCs w:val="24"/>
        </w:rPr>
        <w:t xml:space="preserve"> para </w:t>
      </w:r>
      <w:r w:rsidR="006E66EC">
        <w:rPr>
          <w:rFonts w:ascii="Times New Roman" w:eastAsia="Times New Roman" w:hAnsi="Times New Roman" w:cs="Times New Roman"/>
          <w:sz w:val="24"/>
          <w:szCs w:val="24"/>
        </w:rPr>
        <w:t>continuar</w:t>
      </w:r>
      <w:r w:rsidRPr="00ED2EFB">
        <w:rPr>
          <w:rFonts w:ascii="Times New Roman" w:eastAsia="Times New Roman" w:hAnsi="Times New Roman" w:cs="Times New Roman"/>
          <w:sz w:val="24"/>
          <w:szCs w:val="24"/>
        </w:rPr>
        <w:t xml:space="preserve"> en la comprensión de las oportunidades y amenazas, la política de Paz Total perderá contundencia. </w:t>
      </w:r>
    </w:p>
    <w:p w14:paraId="2D24C971" w14:textId="3E224AD8" w:rsidR="0044203F" w:rsidRDefault="00586DF7" w:rsidP="008F03F4">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En el escenario actual las instituciones del Estado y las elites políticas no muestran un contexto de coordinación que permita establecer puentes para armonizar respuestas desde el Estado para las amenazas del COT.</w:t>
      </w:r>
    </w:p>
    <w:p w14:paraId="2D24C972" w14:textId="77777777" w:rsidR="0044203F"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Existe un enfoque de acercamiento y colaboración entre Colombia y Venezuela al destacar las reuniones y acuerdo entre Petro y Maduro para combatir dicho fenómeno; así como una confianza en la ayuda del gobierno venezolano en la lucha contra el COT, sin embargo, esto no se ha traducido en un sistema de cooperación efectivo que garantice la lucha o el sometimiento de este tipo de organizaciones criminales. La presencia de esta organización criminal ha logrado protagonismo por el importante número de incidentes violentos que se registran de forma mediática en diferentes regiones de Colombia, especialmente en áreas urbanas como Bogotá, lo cual le ha dado mayor protagonismo a la percepción sobre la pérdida de capacidad estatal frente al combate de este tipo de COT.</w:t>
      </w:r>
    </w:p>
    <w:p w14:paraId="2C4066C3" w14:textId="77777777" w:rsidR="00CA29B7"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Cabe resaltar que el presidente de Colombia ha insinuado que el Tren de Aragua podría estar liderado por la extrema derecha en una respuesta a la Senadora María Fernanda Cabal quien afirmó que la expansión de las bandas criminales se relaciona con las políticas del gobierno </w:t>
      </w:r>
      <w:r w:rsidRPr="00ED2EFB">
        <w:rPr>
          <w:rFonts w:ascii="Times New Roman" w:eastAsia="Times New Roman" w:hAnsi="Times New Roman" w:cs="Times New Roman"/>
          <w:color w:val="000000"/>
          <w:sz w:val="24"/>
          <w:szCs w:val="24"/>
        </w:rPr>
        <w:t>(</w:t>
      </w:r>
      <w:proofErr w:type="spellStart"/>
      <w:r w:rsidRPr="00ED2EFB">
        <w:rPr>
          <w:rFonts w:ascii="Times New Roman" w:eastAsia="Times New Roman" w:hAnsi="Times New Roman" w:cs="Times New Roman"/>
          <w:color w:val="000000"/>
          <w:sz w:val="24"/>
          <w:szCs w:val="24"/>
        </w:rPr>
        <w:t>KienyKe</w:t>
      </w:r>
      <w:proofErr w:type="spellEnd"/>
      <w:r w:rsidRPr="00ED2EFB">
        <w:rPr>
          <w:rFonts w:ascii="Times New Roman" w:eastAsia="Times New Roman" w:hAnsi="Times New Roman" w:cs="Times New Roman"/>
          <w:color w:val="000000"/>
          <w:sz w:val="24"/>
          <w:szCs w:val="24"/>
        </w:rPr>
        <w:t>, 2023)</w:t>
      </w:r>
      <w:r w:rsidRPr="00ED2EFB">
        <w:rPr>
          <w:rFonts w:ascii="Times New Roman" w:eastAsia="Times New Roman" w:hAnsi="Times New Roman" w:cs="Times New Roman"/>
          <w:sz w:val="24"/>
          <w:szCs w:val="24"/>
        </w:rPr>
        <w:t>. Claudia López señaló que el Tren de Aragua representa una amenaza significativa que requiere la colaboración del gobierno venezolano para ser desarticulada.</w:t>
      </w:r>
    </w:p>
    <w:p w14:paraId="44873352" w14:textId="3DB3197C" w:rsidR="003E3411"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En sus declaraciones, López ha enfatizado la importancia de la cooperación entre Colombia y Venezuela para combatir eficazmente estas bandas delincuenciales, sugiriendo que sin el apoyo del vecino país, será difícil desmantelar estas redes criminales de manera completa y efectiva</w:t>
      </w:r>
      <w:r w:rsidRPr="00ED2EFB">
        <w:rPr>
          <w:rFonts w:ascii="Times New Roman" w:eastAsia="Times New Roman" w:hAnsi="Times New Roman" w:cs="Times New Roman"/>
          <w:color w:val="000000"/>
          <w:sz w:val="24"/>
          <w:szCs w:val="24"/>
        </w:rPr>
        <w:t xml:space="preserve"> (Colombia.com, 2022)</w:t>
      </w:r>
      <w:r w:rsidRPr="00ED2EFB">
        <w:rPr>
          <w:rFonts w:ascii="Times New Roman" w:eastAsia="Times New Roman" w:hAnsi="Times New Roman" w:cs="Times New Roman"/>
          <w:sz w:val="24"/>
          <w:szCs w:val="24"/>
        </w:rPr>
        <w:t xml:space="preserve">. </w:t>
      </w:r>
    </w:p>
    <w:p w14:paraId="2D24C973" w14:textId="465BA2F4" w:rsidR="0044203F" w:rsidRDefault="00586DF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sz w:val="24"/>
          <w:szCs w:val="24"/>
        </w:rPr>
        <w:t xml:space="preserve">Por su parte, Luis Gilberto Murillo Canciller de Colombia, si bien ha reconocido la existencia del Tren de Aragua, en reuniones con autoridades venezolanas ha evitado confrontaciones directas sobre el tema </w:t>
      </w:r>
      <w:r w:rsidRPr="00ED2EFB">
        <w:rPr>
          <w:rFonts w:ascii="Times New Roman" w:eastAsia="Times New Roman" w:hAnsi="Times New Roman" w:cs="Times New Roman"/>
          <w:color w:val="000000"/>
          <w:sz w:val="24"/>
          <w:szCs w:val="24"/>
        </w:rPr>
        <w:t>(</w:t>
      </w:r>
      <w:proofErr w:type="spellStart"/>
      <w:r w:rsidRPr="00ED2EFB">
        <w:rPr>
          <w:rFonts w:ascii="Times New Roman" w:eastAsia="Times New Roman" w:hAnsi="Times New Roman" w:cs="Times New Roman"/>
          <w:color w:val="000000"/>
          <w:sz w:val="24"/>
          <w:szCs w:val="24"/>
        </w:rPr>
        <w:t>Pulzo</w:t>
      </w:r>
      <w:proofErr w:type="spellEnd"/>
      <w:r w:rsidRPr="00ED2EFB">
        <w:rPr>
          <w:rFonts w:ascii="Times New Roman" w:eastAsia="Times New Roman" w:hAnsi="Times New Roman" w:cs="Times New Roman"/>
          <w:color w:val="000000"/>
          <w:sz w:val="24"/>
          <w:szCs w:val="24"/>
        </w:rPr>
        <w:t xml:space="preserve">, 2024). </w:t>
      </w:r>
    </w:p>
    <w:p w14:paraId="391E1F80" w14:textId="7D363F6F" w:rsidR="00F5176A" w:rsidRDefault="00586DF7" w:rsidP="003E3411">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color w:val="000000"/>
          <w:sz w:val="24"/>
          <w:szCs w:val="24"/>
        </w:rPr>
        <w:t>Por su parte, la percepción de Nicolás Maduro sobre el Tren de Aragua ha sido inconsistente y a menudo contradictora. Inicialmente su gobierno negó la existencia de esta organización. También ha culpado a factores externos de su expansión como las políticas implementadas por Iván Duque y Sebastián Piñera (NTN24, 2024).</w:t>
      </w:r>
      <w:r w:rsidR="00F5176A">
        <w:rPr>
          <w:rFonts w:ascii="Times New Roman" w:eastAsia="Times New Roman" w:hAnsi="Times New Roman" w:cs="Times New Roman"/>
          <w:color w:val="000000"/>
          <w:sz w:val="24"/>
          <w:szCs w:val="24"/>
        </w:rPr>
        <w:t xml:space="preserve"> </w:t>
      </w:r>
      <w:r w:rsidR="00DC08A9" w:rsidRPr="00ED2EFB">
        <w:rPr>
          <w:rFonts w:ascii="Times New Roman" w:eastAsia="Times New Roman" w:hAnsi="Times New Roman" w:cs="Times New Roman"/>
          <w:color w:val="000000"/>
          <w:sz w:val="24"/>
          <w:szCs w:val="24"/>
        </w:rPr>
        <w:t xml:space="preserve">Si bien la relevancia del </w:t>
      </w:r>
      <w:proofErr w:type="spellStart"/>
      <w:r w:rsidR="00DC08A9" w:rsidRPr="00ED2EFB">
        <w:rPr>
          <w:rFonts w:ascii="Times New Roman" w:eastAsia="Times New Roman" w:hAnsi="Times New Roman" w:cs="Times New Roman"/>
          <w:color w:val="000000"/>
          <w:sz w:val="24"/>
          <w:szCs w:val="24"/>
        </w:rPr>
        <w:t>TdA</w:t>
      </w:r>
      <w:proofErr w:type="spellEnd"/>
      <w:r w:rsidR="00DC08A9" w:rsidRPr="00ED2EFB">
        <w:rPr>
          <w:rFonts w:ascii="Times New Roman" w:eastAsia="Times New Roman" w:hAnsi="Times New Roman" w:cs="Times New Roman"/>
          <w:color w:val="000000"/>
          <w:sz w:val="24"/>
          <w:szCs w:val="24"/>
        </w:rPr>
        <w:t xml:space="preserve"> como fenómeno dentro de los discursos de Petro no reside en su frecuencia cuantitativa, la cual es marginal cercana al 6%, sino en su función como punto de quiebre en la narrativa de la Paz Total. </w:t>
      </w:r>
    </w:p>
    <w:p w14:paraId="2D24C976" w14:textId="1AE5914D" w:rsidR="0044203F" w:rsidRPr="00CA29B7" w:rsidRDefault="00DC08A9" w:rsidP="00CA29B7">
      <w:pPr>
        <w:spacing w:after="0" w:line="360" w:lineRule="auto"/>
        <w:ind w:firstLine="709"/>
        <w:jc w:val="both"/>
        <w:rPr>
          <w:rFonts w:ascii="Times New Roman" w:eastAsia="Times New Roman" w:hAnsi="Times New Roman" w:cs="Times New Roman"/>
          <w:color w:val="000000"/>
          <w:sz w:val="24"/>
          <w:szCs w:val="24"/>
        </w:rPr>
      </w:pPr>
      <w:r w:rsidRPr="00ED2EFB">
        <w:rPr>
          <w:rFonts w:ascii="Times New Roman" w:eastAsia="Times New Roman" w:hAnsi="Times New Roman" w:cs="Times New Roman"/>
          <w:color w:val="000000"/>
          <w:sz w:val="24"/>
          <w:szCs w:val="24"/>
        </w:rPr>
        <w:lastRenderedPageBreak/>
        <w:t xml:space="preserve">Por un lado, el discurso del presidente de Colombia intenta encuadrar la violencia como un producto del conflicto </w:t>
      </w:r>
      <w:r w:rsidR="006A77A5" w:rsidRPr="00ED2EFB">
        <w:rPr>
          <w:rFonts w:ascii="Times New Roman" w:eastAsia="Times New Roman" w:hAnsi="Times New Roman" w:cs="Times New Roman"/>
          <w:color w:val="000000"/>
          <w:sz w:val="24"/>
          <w:szCs w:val="24"/>
        </w:rPr>
        <w:t>armado</w:t>
      </w:r>
      <w:r w:rsidRPr="00ED2EFB">
        <w:rPr>
          <w:rFonts w:ascii="Times New Roman" w:eastAsia="Times New Roman" w:hAnsi="Times New Roman" w:cs="Times New Roman"/>
          <w:color w:val="000000"/>
          <w:sz w:val="24"/>
          <w:szCs w:val="24"/>
        </w:rPr>
        <w:t xml:space="preserve"> interno y asociado a la exclusión social, la operatividad transnacional de esta </w:t>
      </w:r>
      <w:r w:rsidR="006A77A5" w:rsidRPr="00ED2EFB">
        <w:rPr>
          <w:rFonts w:ascii="Times New Roman" w:eastAsia="Times New Roman" w:hAnsi="Times New Roman" w:cs="Times New Roman"/>
          <w:color w:val="000000"/>
          <w:sz w:val="24"/>
          <w:szCs w:val="24"/>
        </w:rPr>
        <w:t>mega banda</w:t>
      </w:r>
      <w:r w:rsidRPr="00ED2EFB">
        <w:rPr>
          <w:rFonts w:ascii="Times New Roman" w:eastAsia="Times New Roman" w:hAnsi="Times New Roman" w:cs="Times New Roman"/>
          <w:color w:val="000000"/>
          <w:sz w:val="24"/>
          <w:szCs w:val="24"/>
        </w:rPr>
        <w:t xml:space="preserve"> </w:t>
      </w:r>
      <w:r w:rsidR="006A77A5" w:rsidRPr="00ED2EFB">
        <w:rPr>
          <w:rFonts w:ascii="Times New Roman" w:eastAsia="Times New Roman" w:hAnsi="Times New Roman" w:cs="Times New Roman"/>
          <w:color w:val="000000"/>
          <w:sz w:val="24"/>
          <w:szCs w:val="24"/>
        </w:rPr>
        <w:t>(la</w:t>
      </w:r>
      <w:r w:rsidRPr="00ED2EFB">
        <w:rPr>
          <w:rFonts w:ascii="Times New Roman" w:eastAsia="Times New Roman" w:hAnsi="Times New Roman" w:cs="Times New Roman"/>
          <w:color w:val="000000"/>
          <w:sz w:val="24"/>
          <w:szCs w:val="24"/>
        </w:rPr>
        <w:t xml:space="preserve"> cual tiene nodos desde Aragua a Bogotá, Santiago y Nueva york) actúa como una variable externa que el su discurso intenta domesticar. Por lo tanto, al minimizar su carácter transnacional, el </w:t>
      </w:r>
      <w:r w:rsidR="006A77A5" w:rsidRPr="00ED2EFB">
        <w:rPr>
          <w:rFonts w:ascii="Times New Roman" w:eastAsia="Times New Roman" w:hAnsi="Times New Roman" w:cs="Times New Roman"/>
          <w:color w:val="000000"/>
          <w:sz w:val="24"/>
          <w:szCs w:val="24"/>
        </w:rPr>
        <w:t>discurso busca</w:t>
      </w:r>
      <w:r w:rsidRPr="00ED2EFB">
        <w:rPr>
          <w:rFonts w:ascii="Times New Roman" w:eastAsia="Times New Roman" w:hAnsi="Times New Roman" w:cs="Times New Roman"/>
          <w:color w:val="000000"/>
          <w:sz w:val="24"/>
          <w:szCs w:val="24"/>
        </w:rPr>
        <w:t xml:space="preserve"> mantener la coherencia de que la paz depende exclusivamente de transformaciones territoriales internas, ignorando que el </w:t>
      </w:r>
      <w:proofErr w:type="spellStart"/>
      <w:r w:rsidRPr="00ED2EFB">
        <w:rPr>
          <w:rFonts w:ascii="Times New Roman" w:eastAsia="Times New Roman" w:hAnsi="Times New Roman" w:cs="Times New Roman"/>
          <w:color w:val="000000"/>
          <w:sz w:val="24"/>
          <w:szCs w:val="24"/>
        </w:rPr>
        <w:t>TdA</w:t>
      </w:r>
      <w:proofErr w:type="spellEnd"/>
      <w:r w:rsidRPr="00ED2EFB">
        <w:rPr>
          <w:rFonts w:ascii="Times New Roman" w:eastAsia="Times New Roman" w:hAnsi="Times New Roman" w:cs="Times New Roman"/>
          <w:color w:val="000000"/>
          <w:sz w:val="24"/>
          <w:szCs w:val="24"/>
        </w:rPr>
        <w:t xml:space="preserve"> utiliza precisamente los flujos de la globalización desviada para movilizar tanto el capital como sus técnicas de violencia sistemática más allá de la jurisdicción del Estado colombiano.</w:t>
      </w:r>
    </w:p>
    <w:p w14:paraId="2D24C977" w14:textId="77777777" w:rsidR="0044203F" w:rsidRPr="00ED2EFB" w:rsidRDefault="00586DF7">
      <w:pPr>
        <w:spacing w:after="0" w:line="36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Conclusiones</w:t>
      </w:r>
    </w:p>
    <w:p w14:paraId="2D24C978" w14:textId="77777777" w:rsidR="0044203F" w:rsidRDefault="00586DF7" w:rsidP="00F5176A">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La rápida expansión y consolidación del Tren de Aragua en territorio colombiano, en un periodo relativamente corto comparado con otras organizaciones criminales, resulta llamativa no solo por su velocidad, sino también porque ocurre en un contexto en el que el gobierno colombiano está inmerso en un ambicioso proceso de acuerdos y negociaciones con grupos criminales que han afectado la seguridad y la capacidad del Estado para ejercer soberanía y control territorial.</w:t>
      </w:r>
    </w:p>
    <w:p w14:paraId="1C6EEB92" w14:textId="77777777" w:rsidR="003E3411"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Los elementos presentados en este texto indican que existen variables independientes que han dificultado el control efectivo del Estado sobre el territorio. En primer lugar, los efectos de la globalización desviada han creado una vía de canalización y expansión para actividades económicas ilegales, camufladas en dinámicas no deseadas como la migración causada por las precarias condiciones, principalmente en Venezuela. </w:t>
      </w:r>
    </w:p>
    <w:p w14:paraId="09AE94EC" w14:textId="77777777" w:rsidR="005A4471"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A pesar de existir lógicas de cooperación binacional con Venezuela y multilateral en América Latina para enfrentar este fenómeno, las COT han logrado sortear fácilmente las fronteras sin distinción y los vacíos de control estatal gracias a su rapidez, flexibilidad y capacidad de adaptación.</w:t>
      </w:r>
      <w:r w:rsidR="005A4471">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 xml:space="preserve">La falta de una política internacional organizada contra del COT ha permitido expandirse rápidamente, en especial en países donde el control estatal se ha debilitado, como Colombia, que está negociando con organizaciones criminales locales y no ha logrado un mecanismo efectivo de cooperación en seguridad con Venezuela y otros países de la región, los cuales siguen siendo considerados como variables externas o exógenas a la comprensión de la Paz Total. </w:t>
      </w:r>
    </w:p>
    <w:p w14:paraId="7FBB2626" w14:textId="77777777" w:rsidR="00895F68" w:rsidRDefault="00895F68">
      <w:pPr>
        <w:spacing w:after="0" w:line="360" w:lineRule="auto"/>
        <w:ind w:firstLine="709"/>
        <w:jc w:val="both"/>
        <w:rPr>
          <w:rFonts w:ascii="Times New Roman" w:eastAsia="Times New Roman" w:hAnsi="Times New Roman" w:cs="Times New Roman"/>
          <w:sz w:val="24"/>
          <w:szCs w:val="24"/>
        </w:rPr>
      </w:pPr>
    </w:p>
    <w:p w14:paraId="056B13A4" w14:textId="77777777" w:rsidR="00895F68" w:rsidRDefault="00895F68">
      <w:pPr>
        <w:spacing w:after="0" w:line="360" w:lineRule="auto"/>
        <w:ind w:firstLine="709"/>
        <w:jc w:val="both"/>
        <w:rPr>
          <w:rFonts w:ascii="Times New Roman" w:eastAsia="Times New Roman" w:hAnsi="Times New Roman" w:cs="Times New Roman"/>
          <w:sz w:val="24"/>
          <w:szCs w:val="24"/>
        </w:rPr>
      </w:pPr>
    </w:p>
    <w:p w14:paraId="2D24C97A" w14:textId="0B34F52E" w:rsidR="0044203F" w:rsidRPr="00ED2EFB"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lastRenderedPageBreak/>
        <w:t xml:space="preserve">Además, no debe pasarse por alto que el Tren de Aragua se ha expandido rápidamente por toda la región y que los mecanismos de integración y cooperación en estrategias de seguridad regional no son lo suficientemente efectivos. Esta ausencia de coordinación estatal representa una oportunidad para las organizaciones criminales en su expansión por la región. </w:t>
      </w:r>
    </w:p>
    <w:p w14:paraId="2D24C97B" w14:textId="0B497E97" w:rsidR="0044203F" w:rsidRDefault="00586DF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El sistema de cooperación entre países vecinos como Venezuela y Colombia frente a la amenaza del Tren de Aragua sigue siendo subestimado, al considerarse parte de una campaña mediática internacional que no refleja una amenaza real para la capacidad estatal. Sin embargo, los hechos atribuidos a esta nueva amenaza a la seguridad continúan registrándose en los medios de comunicación y en instituciones como la Defensoría del Pueblo, que han emitido alertas tempranas sobre esta organización</w:t>
      </w:r>
      <w:r w:rsidR="00B33B51">
        <w:rPr>
          <w:rFonts w:ascii="Times New Roman" w:eastAsia="Times New Roman" w:hAnsi="Times New Roman" w:cs="Times New Roman"/>
          <w:sz w:val="24"/>
          <w:szCs w:val="24"/>
        </w:rPr>
        <w:t xml:space="preserve">, y a nivel internacional el Departamento de Estado de los Estados Unidos (2023) </w:t>
      </w:r>
      <w:r w:rsidR="00D870B0">
        <w:rPr>
          <w:rFonts w:ascii="Times New Roman" w:eastAsia="Times New Roman" w:hAnsi="Times New Roman" w:cs="Times New Roman"/>
          <w:sz w:val="24"/>
          <w:szCs w:val="24"/>
        </w:rPr>
        <w:t xml:space="preserve">destaca que el régimen que mantenía maduro creaba un entorno permisivo </w:t>
      </w:r>
      <w:r w:rsidR="00593338">
        <w:rPr>
          <w:rFonts w:ascii="Times New Roman" w:eastAsia="Times New Roman" w:hAnsi="Times New Roman" w:cs="Times New Roman"/>
          <w:sz w:val="24"/>
          <w:szCs w:val="24"/>
        </w:rPr>
        <w:t xml:space="preserve">donde las redes de crimen organizado internacional podían operar con </w:t>
      </w:r>
      <w:r w:rsidR="00513C1C">
        <w:rPr>
          <w:rFonts w:ascii="Times New Roman" w:eastAsia="Times New Roman" w:hAnsi="Times New Roman" w:cs="Times New Roman"/>
          <w:sz w:val="24"/>
          <w:szCs w:val="24"/>
        </w:rPr>
        <w:t xml:space="preserve">impunidad y bajo presunta complicidad de miembros de la Guardia Nacional. </w:t>
      </w:r>
    </w:p>
    <w:p w14:paraId="5700BB88" w14:textId="77777777" w:rsidR="00CA29B7" w:rsidRDefault="00586DF7" w:rsidP="00C1779B">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Finalmente, el gobierno colombiano no ha incorporado en su estrategia de negociación de la Paz Total los factores internos y externos que, por el contrario, han favorecido la expansión de actividades criminales transnacionales, impulsadas por el auge de economías ilícitas resultantes de la globalización desviada y alimentadas por un sistema internacional anárquico.</w:t>
      </w:r>
      <w:r w:rsidR="00967E9B" w:rsidRPr="00ED2EFB">
        <w:rPr>
          <w:rFonts w:ascii="Times New Roman" w:eastAsia="Times New Roman" w:hAnsi="Times New Roman" w:cs="Times New Roman"/>
          <w:sz w:val="24"/>
          <w:szCs w:val="24"/>
        </w:rPr>
        <w:t xml:space="preserve"> </w:t>
      </w:r>
    </w:p>
    <w:p w14:paraId="2FCC5F14" w14:textId="52273B54" w:rsidR="005A4471" w:rsidRDefault="00967E9B" w:rsidP="00CA29B7">
      <w:pPr>
        <w:spacing w:after="0" w:line="36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Es preciso señala</w:t>
      </w:r>
      <w:r w:rsidR="00BF2E65" w:rsidRPr="00ED2EFB">
        <w:rPr>
          <w:rFonts w:ascii="Times New Roman" w:eastAsia="Times New Roman" w:hAnsi="Times New Roman" w:cs="Times New Roman"/>
          <w:sz w:val="24"/>
          <w:szCs w:val="24"/>
        </w:rPr>
        <w:t>r</w:t>
      </w:r>
      <w:r w:rsidRPr="00ED2EFB">
        <w:rPr>
          <w:rFonts w:ascii="Times New Roman" w:eastAsia="Times New Roman" w:hAnsi="Times New Roman" w:cs="Times New Roman"/>
          <w:sz w:val="24"/>
          <w:szCs w:val="24"/>
        </w:rPr>
        <w:t xml:space="preserve"> que </w:t>
      </w:r>
      <w:r w:rsidR="00BF2E65" w:rsidRPr="00ED2EFB">
        <w:rPr>
          <w:rFonts w:ascii="Times New Roman" w:eastAsia="Times New Roman" w:hAnsi="Times New Roman" w:cs="Times New Roman"/>
          <w:sz w:val="24"/>
          <w:szCs w:val="24"/>
        </w:rPr>
        <w:t xml:space="preserve">los hallazgos </w:t>
      </w:r>
      <w:r w:rsidR="00823889" w:rsidRPr="00ED2EFB">
        <w:rPr>
          <w:rFonts w:ascii="Times New Roman" w:eastAsia="Times New Roman" w:hAnsi="Times New Roman" w:cs="Times New Roman"/>
          <w:sz w:val="24"/>
          <w:szCs w:val="24"/>
        </w:rPr>
        <w:t xml:space="preserve">aquí expuestos constituyen un resultado parcial de una investigación de mayor alcance. Este </w:t>
      </w:r>
      <w:r w:rsidR="0034717F" w:rsidRPr="00ED2EFB">
        <w:rPr>
          <w:rFonts w:ascii="Times New Roman" w:eastAsia="Times New Roman" w:hAnsi="Times New Roman" w:cs="Times New Roman"/>
          <w:sz w:val="24"/>
          <w:szCs w:val="24"/>
        </w:rPr>
        <w:t>artículo</w:t>
      </w:r>
      <w:r w:rsidR="00823889" w:rsidRPr="00ED2EFB">
        <w:rPr>
          <w:rFonts w:ascii="Times New Roman" w:eastAsia="Times New Roman" w:hAnsi="Times New Roman" w:cs="Times New Roman"/>
          <w:sz w:val="24"/>
          <w:szCs w:val="24"/>
        </w:rPr>
        <w:t xml:space="preserve"> se posiciona como un insumo fundamenta</w:t>
      </w:r>
      <w:r w:rsidR="00CF39A6" w:rsidRPr="00ED2EFB">
        <w:rPr>
          <w:rFonts w:ascii="Times New Roman" w:eastAsia="Times New Roman" w:hAnsi="Times New Roman" w:cs="Times New Roman"/>
          <w:sz w:val="24"/>
          <w:szCs w:val="24"/>
        </w:rPr>
        <w:t>l</w:t>
      </w:r>
      <w:r w:rsidR="00823889" w:rsidRPr="00ED2EFB">
        <w:rPr>
          <w:rFonts w:ascii="Times New Roman" w:eastAsia="Times New Roman" w:hAnsi="Times New Roman" w:cs="Times New Roman"/>
          <w:sz w:val="24"/>
          <w:szCs w:val="24"/>
        </w:rPr>
        <w:t xml:space="preserve"> para el desarrollo de un estudio ampliado que integre </w:t>
      </w:r>
      <w:r w:rsidR="00163D70" w:rsidRPr="00ED2EFB">
        <w:rPr>
          <w:rFonts w:ascii="Times New Roman" w:eastAsia="Times New Roman" w:hAnsi="Times New Roman" w:cs="Times New Roman"/>
          <w:sz w:val="24"/>
          <w:szCs w:val="24"/>
        </w:rPr>
        <w:t xml:space="preserve">la totalidad de las variables propuestas dentro del marco del realismo neoclásico. </w:t>
      </w:r>
    </w:p>
    <w:p w14:paraId="13E863C0" w14:textId="0DAB647A" w:rsidR="0034717F" w:rsidRPr="00ED2EFB" w:rsidRDefault="006E66EC" w:rsidP="00C1779B">
      <w:pPr>
        <w:spacing w:after="0" w:line="360" w:lineRule="auto"/>
        <w:ind w:firstLine="709"/>
        <w:jc w:val="both"/>
        <w:rPr>
          <w:rFonts w:ascii="Times New Roman" w:eastAsia="Times New Roman" w:hAnsi="Times New Roman" w:cs="Times New Roman"/>
          <w:b/>
          <w:bCs/>
          <w:sz w:val="24"/>
          <w:szCs w:val="24"/>
        </w:rPr>
      </w:pPr>
      <w:r w:rsidRPr="006E66EC">
        <w:rPr>
          <w:rFonts w:ascii="Times New Roman" w:eastAsia="Times New Roman" w:hAnsi="Times New Roman" w:cs="Times New Roman"/>
          <w:sz w:val="24"/>
          <w:szCs w:val="24"/>
        </w:rPr>
        <w:t>Aunque este estudio ha priorizado la interpretación subjetiva de las élites gubernamentales como factor determinante</w:t>
      </w:r>
      <w:r w:rsidR="00D16EFF" w:rsidRPr="00ED2EFB">
        <w:rPr>
          <w:rFonts w:ascii="Times New Roman" w:eastAsia="Times New Roman" w:hAnsi="Times New Roman" w:cs="Times New Roman"/>
          <w:sz w:val="24"/>
          <w:szCs w:val="24"/>
        </w:rPr>
        <w:t xml:space="preserve">, las etapas </w:t>
      </w:r>
      <w:r w:rsidR="006E75EE" w:rsidRPr="00ED2EFB">
        <w:rPr>
          <w:rFonts w:ascii="Times New Roman" w:eastAsia="Times New Roman" w:hAnsi="Times New Roman" w:cs="Times New Roman"/>
          <w:sz w:val="24"/>
          <w:szCs w:val="24"/>
        </w:rPr>
        <w:t>posteriores profundizaran en la interacción entre la cultura estratégica, las instituciones domésticas y la relación Estado-sociedad</w:t>
      </w:r>
      <w:r w:rsidR="00D64986" w:rsidRPr="00ED2EFB">
        <w:rPr>
          <w:rFonts w:ascii="Times New Roman" w:eastAsia="Times New Roman" w:hAnsi="Times New Roman" w:cs="Times New Roman"/>
          <w:sz w:val="24"/>
          <w:szCs w:val="24"/>
        </w:rPr>
        <w:t xml:space="preserve">, permitiendo una comprensión holística de la </w:t>
      </w:r>
      <w:r w:rsidR="00A24BF2" w:rsidRPr="00ED2EFB">
        <w:rPr>
          <w:rFonts w:ascii="Times New Roman" w:eastAsia="Times New Roman" w:hAnsi="Times New Roman" w:cs="Times New Roman"/>
          <w:sz w:val="24"/>
          <w:szCs w:val="24"/>
        </w:rPr>
        <w:t>me</w:t>
      </w:r>
      <w:r w:rsidR="00D64986" w:rsidRPr="00ED2EFB">
        <w:rPr>
          <w:rFonts w:ascii="Times New Roman" w:eastAsia="Times New Roman" w:hAnsi="Times New Roman" w:cs="Times New Roman"/>
          <w:sz w:val="24"/>
          <w:szCs w:val="24"/>
        </w:rPr>
        <w:t xml:space="preserve">diación de las presiones sistémicas en la política de seguridad de Colombia. </w:t>
      </w:r>
    </w:p>
    <w:p w14:paraId="3059F7EC" w14:textId="77777777" w:rsidR="00C1779B" w:rsidRDefault="00C1779B">
      <w:pPr>
        <w:spacing w:after="0" w:line="240" w:lineRule="auto"/>
        <w:jc w:val="both"/>
        <w:rPr>
          <w:rFonts w:ascii="Times New Roman" w:eastAsia="Times New Roman" w:hAnsi="Times New Roman" w:cs="Times New Roman"/>
          <w:b/>
          <w:bCs/>
          <w:sz w:val="24"/>
          <w:szCs w:val="24"/>
        </w:rPr>
      </w:pPr>
    </w:p>
    <w:p w14:paraId="2D24C97F" w14:textId="48C107ED" w:rsidR="0044203F" w:rsidRDefault="00586DF7">
      <w:pPr>
        <w:spacing w:after="0" w:line="240" w:lineRule="auto"/>
        <w:jc w:val="both"/>
        <w:rPr>
          <w:rFonts w:ascii="Times New Roman" w:eastAsia="Times New Roman" w:hAnsi="Times New Roman" w:cs="Times New Roman"/>
          <w:b/>
          <w:bCs/>
          <w:sz w:val="24"/>
          <w:szCs w:val="24"/>
        </w:rPr>
      </w:pPr>
      <w:r w:rsidRPr="00ED2EFB">
        <w:rPr>
          <w:rFonts w:ascii="Times New Roman" w:eastAsia="Times New Roman" w:hAnsi="Times New Roman" w:cs="Times New Roman"/>
          <w:b/>
          <w:bCs/>
          <w:sz w:val="24"/>
          <w:szCs w:val="24"/>
        </w:rPr>
        <w:t>Referencias bibliográficas</w:t>
      </w:r>
    </w:p>
    <w:p w14:paraId="5E2EE982" w14:textId="77777777" w:rsidR="00C1779B" w:rsidRPr="00ED2EFB" w:rsidRDefault="00C1779B">
      <w:pPr>
        <w:spacing w:after="0" w:line="240" w:lineRule="auto"/>
        <w:jc w:val="both"/>
        <w:rPr>
          <w:rFonts w:ascii="Times New Roman" w:eastAsia="Times New Roman" w:hAnsi="Times New Roman" w:cs="Times New Roman"/>
          <w:b/>
          <w:bCs/>
          <w:sz w:val="24"/>
          <w:szCs w:val="24"/>
        </w:rPr>
      </w:pPr>
    </w:p>
    <w:p w14:paraId="2D24C984" w14:textId="5EE9D6F7" w:rsidR="0044203F" w:rsidRPr="001F4315" w:rsidRDefault="001F4315" w:rsidP="001F4315">
      <w:pPr>
        <w:spacing w:after="0" w:line="240" w:lineRule="auto"/>
        <w:ind w:firstLine="709"/>
        <w:rPr>
          <w:rFonts w:ascii="Times New Roman" w:eastAsia="Times New Roman" w:hAnsi="Times New Roman" w:cs="Times New Roman"/>
          <w:sz w:val="24"/>
          <w:szCs w:val="24"/>
          <w:lang w:val="en-US"/>
        </w:rPr>
      </w:pPr>
      <w:r w:rsidRPr="002D5E34">
        <w:rPr>
          <w:rFonts w:ascii="Times New Roman" w:eastAsia="Times New Roman" w:hAnsi="Times New Roman" w:cs="Times New Roman"/>
          <w:sz w:val="24"/>
          <w:szCs w:val="24"/>
          <w:lang w:val="es-CO"/>
        </w:rPr>
        <w:t xml:space="preserve">Aponte, A., </w:t>
      </w:r>
      <w:r w:rsidR="000B39C5">
        <w:rPr>
          <w:rFonts w:ascii="Times New Roman" w:eastAsia="Times New Roman" w:hAnsi="Times New Roman" w:cs="Times New Roman"/>
          <w:sz w:val="24"/>
          <w:szCs w:val="24"/>
          <w:lang w:val="es-CO"/>
        </w:rPr>
        <w:t xml:space="preserve">&amp; </w:t>
      </w:r>
      <w:r w:rsidRPr="002D5E34">
        <w:rPr>
          <w:rFonts w:ascii="Times New Roman" w:eastAsia="Times New Roman" w:hAnsi="Times New Roman" w:cs="Times New Roman"/>
          <w:sz w:val="24"/>
          <w:szCs w:val="24"/>
          <w:lang w:val="es-CO"/>
        </w:rPr>
        <w:t>Cote, M.A. (2025).</w:t>
      </w:r>
      <w:r w:rsidRPr="002D5E34">
        <w:rPr>
          <w:rFonts w:ascii="Times New Roman" w:eastAsia="Times New Roman" w:hAnsi="Times New Roman" w:cs="Times New Roman"/>
          <w:i/>
          <w:iCs/>
          <w:sz w:val="24"/>
          <w:szCs w:val="24"/>
          <w:lang w:val="es-CO"/>
        </w:rPr>
        <w:t xml:space="preserve"> </w:t>
      </w:r>
      <w:r w:rsidRPr="001F4315">
        <w:rPr>
          <w:rFonts w:ascii="Times New Roman" w:eastAsia="Times New Roman" w:hAnsi="Times New Roman" w:cs="Times New Roman"/>
          <w:i/>
          <w:iCs/>
          <w:sz w:val="24"/>
          <w:szCs w:val="24"/>
          <w:lang w:val="en-US"/>
        </w:rPr>
        <w:t xml:space="preserve">Criminality and multi-crime dynamics: </w:t>
      </w:r>
      <w:r w:rsidR="00B978B1">
        <w:rPr>
          <w:rFonts w:ascii="Times New Roman" w:eastAsia="Times New Roman" w:hAnsi="Times New Roman" w:cs="Times New Roman"/>
          <w:i/>
          <w:iCs/>
          <w:sz w:val="24"/>
          <w:szCs w:val="24"/>
          <w:lang w:val="en-US"/>
        </w:rPr>
        <w:t>t</w:t>
      </w:r>
      <w:r w:rsidRPr="001F4315">
        <w:rPr>
          <w:rFonts w:ascii="Times New Roman" w:eastAsia="Times New Roman" w:hAnsi="Times New Roman" w:cs="Times New Roman"/>
          <w:i/>
          <w:iCs/>
          <w:sz w:val="24"/>
          <w:szCs w:val="24"/>
          <w:lang w:val="en-US"/>
        </w:rPr>
        <w:t>rends in Latin America</w:t>
      </w:r>
      <w:r w:rsidRPr="001F4315">
        <w:rPr>
          <w:rFonts w:ascii="Times New Roman" w:eastAsia="Times New Roman" w:hAnsi="Times New Roman" w:cs="Times New Roman"/>
          <w:sz w:val="24"/>
          <w:szCs w:val="24"/>
          <w:lang w:val="en-US"/>
        </w:rPr>
        <w:t>. Global Initiative Against Transnational Organized Crime</w:t>
      </w:r>
      <w:r w:rsidR="00874007">
        <w:rPr>
          <w:rFonts w:ascii="Times New Roman" w:eastAsia="Times New Roman" w:hAnsi="Times New Roman" w:cs="Times New Roman"/>
          <w:sz w:val="24"/>
          <w:szCs w:val="24"/>
          <w:lang w:val="en-US"/>
        </w:rPr>
        <w:t>.</w:t>
      </w:r>
      <w:hyperlink r:id="rId10" w:history="1">
        <w:r w:rsidR="00B20D95" w:rsidRPr="00A04B6A">
          <w:rPr>
            <w:rStyle w:val="Hipervnculo"/>
            <w:rFonts w:ascii="Times New Roman" w:eastAsia="Times New Roman" w:hAnsi="Times New Roman" w:cs="Times New Roman"/>
            <w:sz w:val="24"/>
            <w:szCs w:val="24"/>
            <w:lang w:val="en-US"/>
          </w:rPr>
          <w:t>https://globalinitiative.net/wp-content/uploads/2025/11/Criminality-and-multi-crime-dynamics-Trends-in-Latin-America-GI-TOC-November-2025.pdf</w:t>
        </w:r>
      </w:hyperlink>
      <w:r w:rsidR="00874007">
        <w:rPr>
          <w:rFonts w:ascii="Times New Roman" w:eastAsia="Times New Roman" w:hAnsi="Times New Roman" w:cs="Times New Roman"/>
          <w:sz w:val="24"/>
          <w:szCs w:val="24"/>
          <w:lang w:val="en-US"/>
        </w:rPr>
        <w:t xml:space="preserve"> </w:t>
      </w:r>
    </w:p>
    <w:p w14:paraId="42DD7F49" w14:textId="77777777" w:rsidR="001F4315" w:rsidRPr="00874007" w:rsidRDefault="001F4315" w:rsidP="000244F5">
      <w:pPr>
        <w:spacing w:after="0" w:line="240" w:lineRule="auto"/>
        <w:ind w:firstLine="709"/>
        <w:rPr>
          <w:rFonts w:ascii="Times New Roman" w:eastAsia="Times New Roman" w:hAnsi="Times New Roman" w:cs="Times New Roman"/>
          <w:sz w:val="24"/>
          <w:szCs w:val="24"/>
          <w:lang w:val="en-US"/>
        </w:rPr>
      </w:pPr>
    </w:p>
    <w:p w14:paraId="2D24C986" w14:textId="4BE89D84" w:rsidR="0044203F" w:rsidRPr="0005093B" w:rsidRDefault="00586DF7" w:rsidP="000244F5">
      <w:pPr>
        <w:spacing w:after="0" w:line="240" w:lineRule="auto"/>
        <w:ind w:firstLine="709"/>
        <w:rPr>
          <w:rFonts w:ascii="Times New Roman" w:eastAsia="Times New Roman" w:hAnsi="Times New Roman" w:cs="Times New Roman"/>
          <w:sz w:val="24"/>
          <w:szCs w:val="24"/>
          <w:lang w:val="en-US"/>
        </w:rPr>
      </w:pPr>
      <w:r w:rsidRPr="008D49B4">
        <w:rPr>
          <w:rFonts w:ascii="Times New Roman" w:eastAsia="Times New Roman" w:hAnsi="Times New Roman" w:cs="Times New Roman"/>
          <w:sz w:val="24"/>
          <w:szCs w:val="24"/>
          <w:lang w:val="de-DE"/>
        </w:rPr>
        <w:t xml:space="preserve">Beckmann, N.A., &amp; Erpul, O. (2024). </w:t>
      </w:r>
      <w:r w:rsidRPr="000244F5">
        <w:rPr>
          <w:rFonts w:ascii="Times New Roman" w:eastAsia="Times New Roman" w:hAnsi="Times New Roman" w:cs="Times New Roman"/>
          <w:sz w:val="24"/>
          <w:szCs w:val="24"/>
          <w:lang w:val="en-US"/>
        </w:rPr>
        <w:t xml:space="preserve">Realism’s timeless wisdom and its relevance for the global South. </w:t>
      </w:r>
      <w:r w:rsidRPr="0005093B">
        <w:rPr>
          <w:rFonts w:ascii="Times New Roman" w:eastAsia="Times New Roman" w:hAnsi="Times New Roman" w:cs="Times New Roman"/>
          <w:sz w:val="24"/>
          <w:szCs w:val="24"/>
          <w:lang w:val="en-US"/>
        </w:rPr>
        <w:t>All Azimuth, 13(1)</w:t>
      </w:r>
      <w:r w:rsidR="00CF39A6" w:rsidRPr="0005093B">
        <w:rPr>
          <w:rFonts w:ascii="Times New Roman" w:eastAsia="Times New Roman" w:hAnsi="Times New Roman" w:cs="Times New Roman"/>
          <w:sz w:val="24"/>
          <w:szCs w:val="24"/>
          <w:lang w:val="en-US"/>
        </w:rPr>
        <w:t>.</w:t>
      </w:r>
      <w:r w:rsidRPr="0005093B">
        <w:rPr>
          <w:rFonts w:ascii="Times New Roman" w:eastAsia="Times New Roman" w:hAnsi="Times New Roman" w:cs="Times New Roman"/>
          <w:sz w:val="24"/>
          <w:szCs w:val="24"/>
          <w:lang w:val="en-US"/>
        </w:rPr>
        <w:t xml:space="preserve"> </w:t>
      </w:r>
      <w:hyperlink r:id="rId11" w:history="1">
        <w:r w:rsidR="0034717F" w:rsidRPr="0005093B">
          <w:rPr>
            <w:rStyle w:val="Hipervnculo"/>
            <w:lang w:val="en-US"/>
          </w:rPr>
          <w:t>https://doi.org/10.20991/ALLAZIMUTH.1413433</w:t>
        </w:r>
      </w:hyperlink>
      <w:r w:rsidR="0034717F" w:rsidRPr="0005093B">
        <w:rPr>
          <w:rFonts w:ascii="Times New Roman" w:eastAsia="Times New Roman" w:hAnsi="Times New Roman" w:cs="Times New Roman"/>
          <w:sz w:val="24"/>
          <w:szCs w:val="24"/>
          <w:lang w:val="en-US"/>
        </w:rPr>
        <w:t xml:space="preserve"> </w:t>
      </w:r>
    </w:p>
    <w:p w14:paraId="05683166" w14:textId="77777777" w:rsidR="00EA681F" w:rsidRPr="0005093B" w:rsidRDefault="00EA681F" w:rsidP="000244F5">
      <w:pPr>
        <w:spacing w:after="0" w:line="240" w:lineRule="auto"/>
        <w:ind w:firstLine="709"/>
        <w:rPr>
          <w:rFonts w:ascii="Times New Roman" w:eastAsia="Times New Roman" w:hAnsi="Times New Roman" w:cs="Times New Roman"/>
          <w:sz w:val="24"/>
          <w:szCs w:val="24"/>
          <w:lang w:val="en-US"/>
        </w:rPr>
      </w:pPr>
    </w:p>
    <w:p w14:paraId="5461C714" w14:textId="320A6A5F" w:rsidR="00EA681F" w:rsidRPr="008D49B4" w:rsidRDefault="00EA681F" w:rsidP="000244F5">
      <w:pPr>
        <w:spacing w:after="0" w:line="240" w:lineRule="auto"/>
        <w:ind w:firstLine="709"/>
        <w:rPr>
          <w:rFonts w:ascii="Times New Roman" w:eastAsia="Times New Roman" w:hAnsi="Times New Roman" w:cs="Times New Roman"/>
          <w:sz w:val="24"/>
          <w:szCs w:val="24"/>
          <w:lang w:val="en-US"/>
        </w:rPr>
      </w:pPr>
      <w:r w:rsidRPr="00EA681F">
        <w:rPr>
          <w:rFonts w:ascii="Times New Roman" w:eastAsia="Times New Roman" w:hAnsi="Times New Roman" w:cs="Times New Roman"/>
          <w:sz w:val="24"/>
          <w:szCs w:val="24"/>
          <w:lang w:val="en-US"/>
        </w:rPr>
        <w:t xml:space="preserve">Castells, M. (2009). </w:t>
      </w:r>
      <w:r w:rsidRPr="00EA681F">
        <w:rPr>
          <w:rFonts w:ascii="Times New Roman" w:eastAsia="Times New Roman" w:hAnsi="Times New Roman" w:cs="Times New Roman"/>
          <w:i/>
          <w:iCs/>
          <w:sz w:val="24"/>
          <w:szCs w:val="24"/>
          <w:lang w:val="en-US"/>
        </w:rPr>
        <w:t>Communication power</w:t>
      </w:r>
      <w:r w:rsidRPr="00EA681F">
        <w:rPr>
          <w:rFonts w:ascii="Times New Roman" w:eastAsia="Times New Roman" w:hAnsi="Times New Roman" w:cs="Times New Roman"/>
          <w:sz w:val="24"/>
          <w:szCs w:val="24"/>
          <w:lang w:val="en-US"/>
        </w:rPr>
        <w:t xml:space="preserve">. </w:t>
      </w:r>
      <w:r w:rsidRPr="008D49B4">
        <w:rPr>
          <w:rFonts w:ascii="Times New Roman" w:eastAsia="Times New Roman" w:hAnsi="Times New Roman" w:cs="Times New Roman"/>
          <w:sz w:val="24"/>
          <w:szCs w:val="24"/>
          <w:lang w:val="en-US"/>
        </w:rPr>
        <w:t>Oxford University Press.</w:t>
      </w:r>
    </w:p>
    <w:p w14:paraId="409765DD" w14:textId="77777777" w:rsidR="00611C0C" w:rsidRPr="008D49B4" w:rsidRDefault="00611C0C" w:rsidP="000244F5">
      <w:pPr>
        <w:spacing w:after="0" w:line="240" w:lineRule="auto"/>
        <w:ind w:firstLine="709"/>
        <w:rPr>
          <w:rFonts w:ascii="Times New Roman" w:eastAsia="Times New Roman" w:hAnsi="Times New Roman" w:cs="Times New Roman"/>
          <w:sz w:val="24"/>
          <w:szCs w:val="24"/>
          <w:lang w:val="en-US"/>
        </w:rPr>
      </w:pPr>
    </w:p>
    <w:p w14:paraId="1C48A8AB" w14:textId="5DF3338A" w:rsidR="0078422D" w:rsidRPr="00611C0C" w:rsidRDefault="00611C0C" w:rsidP="00344D30">
      <w:pPr>
        <w:spacing w:after="0" w:line="240" w:lineRule="auto"/>
        <w:ind w:firstLine="709"/>
        <w:jc w:val="both"/>
        <w:rPr>
          <w:rFonts w:ascii="Times New Roman" w:eastAsia="Times New Roman" w:hAnsi="Times New Roman" w:cs="Times New Roman"/>
          <w:sz w:val="24"/>
          <w:szCs w:val="24"/>
          <w:lang w:val="en-US"/>
        </w:rPr>
      </w:pPr>
      <w:r w:rsidRPr="008D49B4">
        <w:rPr>
          <w:rFonts w:ascii="Times New Roman" w:eastAsia="Times New Roman" w:hAnsi="Times New Roman" w:cs="Times New Roman"/>
          <w:sz w:val="24"/>
          <w:szCs w:val="24"/>
          <w:lang w:val="en-US"/>
        </w:rPr>
        <w:t xml:space="preserve">Cajiao, A., Tobo, P., </w:t>
      </w:r>
      <w:r w:rsidR="006B453F" w:rsidRPr="008D49B4">
        <w:rPr>
          <w:rFonts w:ascii="Times New Roman" w:eastAsia="Times New Roman" w:hAnsi="Times New Roman" w:cs="Times New Roman"/>
          <w:sz w:val="24"/>
          <w:szCs w:val="24"/>
          <w:lang w:val="en-US"/>
        </w:rPr>
        <w:t>&amp;</w:t>
      </w:r>
      <w:r w:rsidRPr="008D49B4">
        <w:rPr>
          <w:rFonts w:ascii="Times New Roman" w:eastAsia="Times New Roman" w:hAnsi="Times New Roman" w:cs="Times New Roman"/>
          <w:sz w:val="24"/>
          <w:szCs w:val="24"/>
          <w:lang w:val="en-US"/>
        </w:rPr>
        <w:t xml:space="preserve"> Botero Restrepo, M. (2022, </w:t>
      </w:r>
      <w:proofErr w:type="spellStart"/>
      <w:r w:rsidRPr="008D49B4">
        <w:rPr>
          <w:rFonts w:ascii="Times New Roman" w:eastAsia="Times New Roman" w:hAnsi="Times New Roman" w:cs="Times New Roman"/>
          <w:sz w:val="24"/>
          <w:szCs w:val="24"/>
          <w:lang w:val="en-US"/>
        </w:rPr>
        <w:t>noviembre</w:t>
      </w:r>
      <w:proofErr w:type="spellEnd"/>
      <w:r w:rsidRPr="008D49B4">
        <w:rPr>
          <w:rFonts w:ascii="Times New Roman" w:eastAsia="Times New Roman" w:hAnsi="Times New Roman" w:cs="Times New Roman"/>
          <w:sz w:val="24"/>
          <w:szCs w:val="24"/>
          <w:lang w:val="en-US"/>
        </w:rPr>
        <w:t xml:space="preserve">). </w:t>
      </w:r>
      <w:r w:rsidRPr="00611C0C">
        <w:rPr>
          <w:rFonts w:ascii="Times New Roman" w:eastAsia="Times New Roman" w:hAnsi="Times New Roman" w:cs="Times New Roman"/>
          <w:i/>
          <w:iCs/>
          <w:sz w:val="24"/>
          <w:szCs w:val="24"/>
          <w:lang w:val="en-US"/>
        </w:rPr>
        <w:t xml:space="preserve">On the border: </w:t>
      </w:r>
      <w:r w:rsidR="00344D30">
        <w:rPr>
          <w:rFonts w:ascii="Times New Roman" w:eastAsia="Times New Roman" w:hAnsi="Times New Roman" w:cs="Times New Roman"/>
          <w:i/>
          <w:iCs/>
          <w:sz w:val="24"/>
          <w:szCs w:val="24"/>
          <w:lang w:val="en-US"/>
        </w:rPr>
        <w:t>t</w:t>
      </w:r>
      <w:r w:rsidRPr="00611C0C">
        <w:rPr>
          <w:rFonts w:ascii="Times New Roman" w:eastAsia="Times New Roman" w:hAnsi="Times New Roman" w:cs="Times New Roman"/>
          <w:i/>
          <w:iCs/>
          <w:sz w:val="24"/>
          <w:szCs w:val="24"/>
          <w:lang w:val="en-US"/>
        </w:rPr>
        <w:t xml:space="preserve">he </w:t>
      </w:r>
      <w:r w:rsidR="00344D30">
        <w:rPr>
          <w:rFonts w:ascii="Times New Roman" w:eastAsia="Times New Roman" w:hAnsi="Times New Roman" w:cs="Times New Roman"/>
          <w:i/>
          <w:iCs/>
          <w:sz w:val="24"/>
          <w:szCs w:val="24"/>
          <w:lang w:val="en-US"/>
        </w:rPr>
        <w:t>g</w:t>
      </w:r>
      <w:r w:rsidRPr="00611C0C">
        <w:rPr>
          <w:rFonts w:ascii="Times New Roman" w:eastAsia="Times New Roman" w:hAnsi="Times New Roman" w:cs="Times New Roman"/>
          <w:i/>
          <w:iCs/>
          <w:sz w:val="24"/>
          <w:szCs w:val="24"/>
          <w:lang w:val="en-US"/>
        </w:rPr>
        <w:t xml:space="preserve">ulf </w:t>
      </w:r>
      <w:r w:rsidR="00344D30">
        <w:rPr>
          <w:rFonts w:ascii="Times New Roman" w:eastAsia="Times New Roman" w:hAnsi="Times New Roman" w:cs="Times New Roman"/>
          <w:i/>
          <w:iCs/>
          <w:sz w:val="24"/>
          <w:szCs w:val="24"/>
          <w:lang w:val="en-US"/>
        </w:rPr>
        <w:t>c</w:t>
      </w:r>
      <w:r w:rsidRPr="00611C0C">
        <w:rPr>
          <w:rFonts w:ascii="Times New Roman" w:eastAsia="Times New Roman" w:hAnsi="Times New Roman" w:cs="Times New Roman"/>
          <w:i/>
          <w:iCs/>
          <w:sz w:val="24"/>
          <w:szCs w:val="24"/>
          <w:lang w:val="en-US"/>
        </w:rPr>
        <w:t>lan, irregular migration and organized crime in the Darién</w:t>
      </w:r>
      <w:r w:rsidRPr="00611C0C">
        <w:rPr>
          <w:rFonts w:ascii="Times New Roman" w:eastAsia="Times New Roman" w:hAnsi="Times New Roman" w:cs="Times New Roman"/>
          <w:sz w:val="24"/>
          <w:szCs w:val="24"/>
          <w:lang w:val="en-US"/>
        </w:rPr>
        <w:t xml:space="preserve">. Global Initiative Against Transnational Organized Crime. </w:t>
      </w:r>
      <w:hyperlink r:id="rId12" w:tgtFrame="_blank" w:history="1">
        <w:r w:rsidRPr="00611C0C">
          <w:rPr>
            <w:rStyle w:val="Hipervnculo"/>
            <w:rFonts w:ascii="Times New Roman" w:eastAsia="Times New Roman" w:hAnsi="Times New Roman" w:cs="Times New Roman"/>
            <w:sz w:val="24"/>
            <w:szCs w:val="24"/>
            <w:lang w:val="en-US"/>
          </w:rPr>
          <w:t>https://globalinitiative.net/analysis/colombia-frontera-clanmigracion/</w:t>
        </w:r>
      </w:hyperlink>
      <w:r w:rsidRPr="0005093B">
        <w:rPr>
          <w:rFonts w:ascii="Times New Roman" w:eastAsia="Times New Roman" w:hAnsi="Times New Roman" w:cs="Times New Roman"/>
          <w:sz w:val="24"/>
          <w:szCs w:val="24"/>
          <w:lang w:val="en-US"/>
        </w:rPr>
        <w:t xml:space="preserve"> </w:t>
      </w:r>
    </w:p>
    <w:p w14:paraId="5F671DF3" w14:textId="4BC662BF" w:rsidR="0078422D" w:rsidRPr="00ED2EFB" w:rsidRDefault="00427539" w:rsidP="009E03D6">
      <w:pPr>
        <w:spacing w:after="0" w:line="240" w:lineRule="auto"/>
        <w:ind w:firstLine="709"/>
        <w:jc w:val="both"/>
        <w:rPr>
          <w:rFonts w:ascii="Times New Roman" w:eastAsia="Times New Roman" w:hAnsi="Times New Roman" w:cs="Times New Roman"/>
          <w:sz w:val="24"/>
          <w:szCs w:val="24"/>
        </w:rPr>
      </w:pPr>
      <w:r w:rsidRPr="00427539">
        <w:rPr>
          <w:rFonts w:ascii="Times New Roman" w:eastAsia="Times New Roman" w:hAnsi="Times New Roman" w:cs="Times New Roman"/>
          <w:sz w:val="24"/>
          <w:szCs w:val="24"/>
        </w:rPr>
        <w:t>Centro Nacional de Memoria Histórica. (2025). El conflicto armado en cifras.</w:t>
      </w:r>
      <w:r w:rsidR="0078422D">
        <w:rPr>
          <w:rFonts w:ascii="Times New Roman" w:eastAsia="Times New Roman" w:hAnsi="Times New Roman" w:cs="Times New Roman"/>
          <w:sz w:val="24"/>
          <w:szCs w:val="24"/>
        </w:rPr>
        <w:t xml:space="preserve"> </w:t>
      </w:r>
      <w:r w:rsidRPr="00427539">
        <w:rPr>
          <w:rFonts w:ascii="Times New Roman" w:eastAsia="Times New Roman" w:hAnsi="Times New Roman" w:cs="Times New Roman"/>
          <w:sz w:val="24"/>
          <w:szCs w:val="24"/>
        </w:rPr>
        <w:t>Observatorio de Memoria y Conflicto.</w:t>
      </w:r>
      <w:r w:rsidR="0078422D">
        <w:rPr>
          <w:rFonts w:ascii="Times New Roman" w:eastAsia="Times New Roman" w:hAnsi="Times New Roman" w:cs="Times New Roman"/>
          <w:sz w:val="24"/>
          <w:szCs w:val="24"/>
        </w:rPr>
        <w:t xml:space="preserve"> </w:t>
      </w:r>
      <w:hyperlink r:id="rId13" w:history="1">
        <w:r w:rsidR="009E03D6" w:rsidRPr="00A04B6A">
          <w:rPr>
            <w:rStyle w:val="Hipervnculo"/>
            <w:rFonts w:ascii="Times New Roman" w:eastAsia="Times New Roman" w:hAnsi="Times New Roman" w:cs="Times New Roman"/>
            <w:sz w:val="24"/>
            <w:szCs w:val="24"/>
          </w:rPr>
          <w:t>https://micrositios.centrodememoriahistorica.gov.co/observatorio/portal-de-datos/el-conflicto-en-cifras/</w:t>
        </w:r>
      </w:hyperlink>
      <w:r w:rsidR="009E03D6">
        <w:rPr>
          <w:rFonts w:ascii="Times New Roman" w:eastAsia="Times New Roman" w:hAnsi="Times New Roman" w:cs="Times New Roman"/>
          <w:sz w:val="24"/>
          <w:szCs w:val="24"/>
        </w:rPr>
        <w:t xml:space="preserve"> </w:t>
      </w:r>
    </w:p>
    <w:p w14:paraId="2D24C98A"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8D" w14:textId="77777777"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Colombia.com. (2022, 20 de septiembre). Claudia López espera colaboración de Venezuela para desarticular el Tren de Aragua. https://www.colombia.com/actualidad/nacionales/claudia-lopez-espera-colaboracion-venezuela-desarticular-tren-de-aragua-372597</w:t>
      </w:r>
    </w:p>
    <w:p w14:paraId="2D24C98E"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8F" w14:textId="1FE73FF5" w:rsidR="0044203F" w:rsidRPr="0005093B" w:rsidRDefault="00586DF7">
      <w:pPr>
        <w:spacing w:after="0" w:line="240" w:lineRule="auto"/>
        <w:ind w:firstLine="709"/>
        <w:jc w:val="both"/>
        <w:rPr>
          <w:rFonts w:ascii="Times New Roman" w:eastAsia="Times New Roman" w:hAnsi="Times New Roman" w:cs="Times New Roman"/>
          <w:sz w:val="24"/>
          <w:szCs w:val="24"/>
          <w:lang w:val="es-CO"/>
        </w:rPr>
      </w:pPr>
      <w:r w:rsidRPr="00ED2EFB">
        <w:rPr>
          <w:rFonts w:ascii="Times New Roman" w:eastAsia="Times New Roman" w:hAnsi="Times New Roman" w:cs="Times New Roman"/>
          <w:sz w:val="24"/>
          <w:szCs w:val="24"/>
        </w:rPr>
        <w:t>Congreso de Colombia. (2022). Ley 2272 de 2022</w:t>
      </w:r>
      <w:r w:rsidR="006E0296">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Por medio de la cual se modifica, adiciona y prorroga la Ley 418 de 199</w:t>
      </w:r>
      <w:r w:rsidR="000B4F81">
        <w:rPr>
          <w:rFonts w:ascii="Times New Roman" w:eastAsia="Times New Roman" w:hAnsi="Times New Roman" w:cs="Times New Roman"/>
          <w:sz w:val="24"/>
          <w:szCs w:val="24"/>
        </w:rPr>
        <w:t>7</w:t>
      </w:r>
      <w:r w:rsidR="005B154C">
        <w:rPr>
          <w:rFonts w:ascii="Times New Roman" w:eastAsia="Times New Roman" w:hAnsi="Times New Roman" w:cs="Times New Roman"/>
          <w:sz w:val="24"/>
          <w:szCs w:val="24"/>
        </w:rPr>
        <w:t>, prorrogada, modificada y adicionada</w:t>
      </w:r>
      <w:r w:rsidR="00477CC0">
        <w:rPr>
          <w:rFonts w:ascii="Times New Roman" w:eastAsia="Times New Roman" w:hAnsi="Times New Roman" w:cs="Times New Roman"/>
          <w:sz w:val="24"/>
          <w:szCs w:val="24"/>
        </w:rPr>
        <w:t xml:space="preserve"> por las leyes 548 de 1999, 782 de 2002, 1106 de 2006</w:t>
      </w:r>
      <w:r w:rsidR="00743B3D">
        <w:rPr>
          <w:rFonts w:ascii="Times New Roman" w:eastAsia="Times New Roman" w:hAnsi="Times New Roman" w:cs="Times New Roman"/>
          <w:sz w:val="24"/>
          <w:szCs w:val="24"/>
        </w:rPr>
        <w:t>, 1421 de 2010, 1738 de 2014 y 1941 de 2018, se define la política de paz de Estado, se crea el servicio social para la paz y se dictan otras disposiciones.</w:t>
      </w:r>
      <w:r w:rsidR="006E5202">
        <w:rPr>
          <w:rFonts w:ascii="Times New Roman" w:eastAsia="Times New Roman" w:hAnsi="Times New Roman" w:cs="Times New Roman"/>
          <w:sz w:val="24"/>
          <w:szCs w:val="24"/>
        </w:rPr>
        <w:t xml:space="preserve"> 4 de noviembre de </w:t>
      </w:r>
      <w:r w:rsidR="005D4A56">
        <w:rPr>
          <w:rFonts w:ascii="Times New Roman" w:eastAsia="Times New Roman" w:hAnsi="Times New Roman" w:cs="Times New Roman"/>
          <w:sz w:val="24"/>
          <w:szCs w:val="24"/>
        </w:rPr>
        <w:t>2022.</w:t>
      </w:r>
      <w:r w:rsidR="006E0296">
        <w:rPr>
          <w:rFonts w:ascii="Times New Roman" w:eastAsia="Times New Roman" w:hAnsi="Times New Roman" w:cs="Times New Roman"/>
          <w:sz w:val="24"/>
          <w:szCs w:val="24"/>
        </w:rPr>
        <w:t xml:space="preserve"> </w:t>
      </w:r>
      <w:r w:rsidRPr="0005093B">
        <w:rPr>
          <w:rFonts w:ascii="Times New Roman" w:eastAsia="Times New Roman" w:hAnsi="Times New Roman" w:cs="Times New Roman"/>
          <w:sz w:val="24"/>
          <w:szCs w:val="24"/>
          <w:lang w:val="es-CO"/>
        </w:rPr>
        <w:t>Diario Oficial 52.243.</w:t>
      </w:r>
      <w:r w:rsidR="00417B67" w:rsidRPr="00417B67">
        <w:rPr>
          <w:rFonts w:ascii="Times New Roman" w:eastAsia="Times New Roman" w:hAnsi="Times New Roman" w:cs="Times New Roman"/>
          <w:sz w:val="24"/>
          <w:szCs w:val="24"/>
          <w:lang w:val="es-CO"/>
        </w:rPr>
        <w:t xml:space="preserve"> </w:t>
      </w:r>
      <w:hyperlink r:id="rId14" w:history="1">
        <w:r w:rsidR="00417B67" w:rsidRPr="00BF235D">
          <w:rPr>
            <w:rStyle w:val="Hipervnculo"/>
            <w:rFonts w:ascii="Times New Roman" w:eastAsia="Times New Roman" w:hAnsi="Times New Roman" w:cs="Times New Roman"/>
            <w:sz w:val="24"/>
            <w:szCs w:val="24"/>
            <w:lang w:val="es-CO"/>
          </w:rPr>
          <w:t>https://www.funcionpublica.gov.co/eva/gestornormativo/norma.php?i=197883</w:t>
        </w:r>
      </w:hyperlink>
      <w:r w:rsidR="00417B67">
        <w:rPr>
          <w:rFonts w:ascii="Times New Roman" w:eastAsia="Times New Roman" w:hAnsi="Times New Roman" w:cs="Times New Roman"/>
          <w:sz w:val="24"/>
          <w:szCs w:val="24"/>
          <w:lang w:val="es-CO"/>
        </w:rPr>
        <w:t xml:space="preserve"> </w:t>
      </w:r>
    </w:p>
    <w:p w14:paraId="5908B383" w14:textId="77777777" w:rsidR="008D7EDF" w:rsidRPr="0005093B" w:rsidRDefault="008D7EDF">
      <w:pPr>
        <w:spacing w:after="0" w:line="240" w:lineRule="auto"/>
        <w:ind w:firstLine="709"/>
        <w:jc w:val="both"/>
        <w:rPr>
          <w:rFonts w:ascii="Times New Roman" w:eastAsia="Times New Roman" w:hAnsi="Times New Roman" w:cs="Times New Roman"/>
          <w:sz w:val="24"/>
          <w:szCs w:val="24"/>
          <w:lang w:val="es-CO"/>
        </w:rPr>
      </w:pPr>
    </w:p>
    <w:p w14:paraId="2BE20835" w14:textId="67094481" w:rsidR="008D7EDF" w:rsidRDefault="00851958">
      <w:pPr>
        <w:spacing w:after="0" w:line="240" w:lineRule="auto"/>
        <w:ind w:firstLine="709"/>
        <w:jc w:val="both"/>
        <w:rPr>
          <w:rFonts w:ascii="Times New Roman" w:eastAsia="Times New Roman" w:hAnsi="Times New Roman" w:cs="Times New Roman"/>
          <w:sz w:val="24"/>
          <w:szCs w:val="24"/>
        </w:rPr>
      </w:pPr>
      <w:r w:rsidRPr="00851958">
        <w:rPr>
          <w:rFonts w:ascii="Times New Roman" w:eastAsia="Times New Roman" w:hAnsi="Times New Roman" w:cs="Times New Roman"/>
          <w:sz w:val="24"/>
          <w:szCs w:val="24"/>
        </w:rPr>
        <w:t xml:space="preserve">Defensoría del Pueblo de Colombia. (2025, 26 de agosto). </w:t>
      </w:r>
      <w:r w:rsidRPr="00851958">
        <w:rPr>
          <w:rFonts w:ascii="Times New Roman" w:eastAsia="Times New Roman" w:hAnsi="Times New Roman" w:cs="Times New Roman"/>
          <w:i/>
          <w:iCs/>
          <w:sz w:val="24"/>
          <w:szCs w:val="24"/>
        </w:rPr>
        <w:t>Alerta Temprana N° 012-2025: Riesgos para la población civil por el entrelazamiento del conflicto armado y la criminalidad organizada en el Distrito Especial de Santiago de Cali (Valle del Cauca)</w:t>
      </w:r>
      <w:r w:rsidRPr="00851958">
        <w:rPr>
          <w:rFonts w:ascii="Times New Roman" w:eastAsia="Times New Roman" w:hAnsi="Times New Roman" w:cs="Times New Roman"/>
          <w:sz w:val="24"/>
          <w:szCs w:val="24"/>
        </w:rPr>
        <w:t>. Sistema de Alertas Tempranas (SAT).</w:t>
      </w:r>
      <w:r w:rsidRPr="00851958">
        <w:t xml:space="preserve"> </w:t>
      </w:r>
      <w:hyperlink r:id="rId15" w:history="1">
        <w:r w:rsidRPr="00DD5EC6">
          <w:rPr>
            <w:rStyle w:val="Hipervnculo"/>
            <w:rFonts w:ascii="Times New Roman" w:eastAsia="Times New Roman" w:hAnsi="Times New Roman" w:cs="Times New Roman"/>
            <w:sz w:val="24"/>
            <w:szCs w:val="24"/>
          </w:rPr>
          <w:t>https://alertasstg.blob.core.windows.net/alertas/012-25.pdf</w:t>
        </w:r>
      </w:hyperlink>
      <w:r>
        <w:rPr>
          <w:rFonts w:ascii="Times New Roman" w:eastAsia="Times New Roman" w:hAnsi="Times New Roman" w:cs="Times New Roman"/>
          <w:sz w:val="24"/>
          <w:szCs w:val="24"/>
        </w:rPr>
        <w:t xml:space="preserve"> </w:t>
      </w:r>
    </w:p>
    <w:p w14:paraId="0D1CD394" w14:textId="77777777" w:rsidR="001D0CBB" w:rsidRDefault="001D0CBB">
      <w:pPr>
        <w:spacing w:after="0" w:line="240" w:lineRule="auto"/>
        <w:ind w:firstLine="709"/>
        <w:jc w:val="both"/>
        <w:rPr>
          <w:rFonts w:ascii="Times New Roman" w:eastAsia="Times New Roman" w:hAnsi="Times New Roman" w:cs="Times New Roman"/>
          <w:sz w:val="24"/>
          <w:szCs w:val="24"/>
        </w:rPr>
      </w:pPr>
    </w:p>
    <w:p w14:paraId="27A700A2" w14:textId="73A1E514" w:rsidR="001D0CBB" w:rsidRPr="001D0CBB" w:rsidRDefault="001D0CBB">
      <w:pPr>
        <w:spacing w:after="0" w:line="240" w:lineRule="auto"/>
        <w:ind w:firstLine="709"/>
        <w:jc w:val="both"/>
        <w:rPr>
          <w:rFonts w:ascii="Times New Roman" w:eastAsia="Times New Roman" w:hAnsi="Times New Roman" w:cs="Times New Roman"/>
          <w:sz w:val="24"/>
          <w:szCs w:val="24"/>
          <w:lang w:val="en-US"/>
        </w:rPr>
      </w:pPr>
      <w:r w:rsidRPr="001D0CBB">
        <w:rPr>
          <w:rFonts w:ascii="Times New Roman" w:eastAsia="Times New Roman" w:hAnsi="Times New Roman" w:cs="Times New Roman"/>
          <w:sz w:val="24"/>
          <w:szCs w:val="24"/>
          <w:lang w:val="es-CO"/>
        </w:rPr>
        <w:t>Departamento de Estado de los Estados Un</w:t>
      </w:r>
      <w:r>
        <w:rPr>
          <w:rFonts w:ascii="Times New Roman" w:eastAsia="Times New Roman" w:hAnsi="Times New Roman" w:cs="Times New Roman"/>
          <w:sz w:val="24"/>
          <w:szCs w:val="24"/>
          <w:lang w:val="es-CO"/>
        </w:rPr>
        <w:t xml:space="preserve">idos </w:t>
      </w:r>
      <w:r w:rsidR="00A60CD6">
        <w:rPr>
          <w:rFonts w:ascii="Times New Roman" w:eastAsia="Times New Roman" w:hAnsi="Times New Roman" w:cs="Times New Roman"/>
          <w:sz w:val="24"/>
          <w:szCs w:val="24"/>
          <w:lang w:val="es-CO"/>
        </w:rPr>
        <w:t>(</w:t>
      </w:r>
      <w:r w:rsidRPr="001D0CBB">
        <w:rPr>
          <w:rFonts w:ascii="Times New Roman" w:eastAsia="Times New Roman" w:hAnsi="Times New Roman" w:cs="Times New Roman"/>
          <w:sz w:val="24"/>
          <w:szCs w:val="24"/>
          <w:lang w:val="es-CO"/>
        </w:rPr>
        <w:t xml:space="preserve">U.S. </w:t>
      </w:r>
      <w:proofErr w:type="spellStart"/>
      <w:r w:rsidRPr="001D0CBB">
        <w:rPr>
          <w:rFonts w:ascii="Times New Roman" w:eastAsia="Times New Roman" w:hAnsi="Times New Roman" w:cs="Times New Roman"/>
          <w:sz w:val="24"/>
          <w:szCs w:val="24"/>
          <w:lang w:val="es-CO"/>
        </w:rPr>
        <w:t>Department</w:t>
      </w:r>
      <w:proofErr w:type="spellEnd"/>
      <w:r w:rsidRPr="001D0CBB">
        <w:rPr>
          <w:rFonts w:ascii="Times New Roman" w:eastAsia="Times New Roman" w:hAnsi="Times New Roman" w:cs="Times New Roman"/>
          <w:sz w:val="24"/>
          <w:szCs w:val="24"/>
          <w:lang w:val="es-CO"/>
        </w:rPr>
        <w:t xml:space="preserve"> of State</w:t>
      </w:r>
      <w:r w:rsidR="00A60CD6">
        <w:rPr>
          <w:rFonts w:ascii="Times New Roman" w:eastAsia="Times New Roman" w:hAnsi="Times New Roman" w:cs="Times New Roman"/>
          <w:sz w:val="24"/>
          <w:szCs w:val="24"/>
          <w:lang w:val="es-CO"/>
        </w:rPr>
        <w:t>)</w:t>
      </w:r>
      <w:r w:rsidRPr="001D0CBB">
        <w:rPr>
          <w:rFonts w:ascii="Times New Roman" w:eastAsia="Times New Roman" w:hAnsi="Times New Roman" w:cs="Times New Roman"/>
          <w:sz w:val="24"/>
          <w:szCs w:val="24"/>
          <w:lang w:val="es-CO"/>
        </w:rPr>
        <w:t xml:space="preserve">. </w:t>
      </w:r>
      <w:r w:rsidRPr="001D0CBB">
        <w:rPr>
          <w:rFonts w:ascii="Times New Roman" w:eastAsia="Times New Roman" w:hAnsi="Times New Roman" w:cs="Times New Roman"/>
          <w:sz w:val="24"/>
          <w:szCs w:val="24"/>
          <w:lang w:val="en-US"/>
        </w:rPr>
        <w:t>(2023).</w:t>
      </w:r>
      <w:r w:rsidRPr="00A60CD6">
        <w:rPr>
          <w:rFonts w:ascii="Times New Roman" w:eastAsia="Times New Roman" w:hAnsi="Times New Roman" w:cs="Times New Roman"/>
          <w:i/>
          <w:iCs/>
          <w:sz w:val="24"/>
          <w:szCs w:val="24"/>
          <w:lang w:val="en-US"/>
        </w:rPr>
        <w:t xml:space="preserve"> Trafficking in persons report: Venezuela</w:t>
      </w:r>
      <w:r w:rsidRPr="001D0CBB">
        <w:rPr>
          <w:rFonts w:ascii="Times New Roman" w:eastAsia="Times New Roman" w:hAnsi="Times New Roman" w:cs="Times New Roman"/>
          <w:sz w:val="24"/>
          <w:szCs w:val="24"/>
          <w:lang w:val="en-US"/>
        </w:rPr>
        <w:t>. https://www.state.gov/reports/2023-trafficking-in-persons-report/venezuela/</w:t>
      </w:r>
    </w:p>
    <w:p w14:paraId="2D24C990" w14:textId="77777777" w:rsidR="0044203F" w:rsidRPr="001D0CBB" w:rsidRDefault="0044203F">
      <w:pPr>
        <w:spacing w:after="0" w:line="240" w:lineRule="auto"/>
        <w:ind w:firstLine="709"/>
        <w:jc w:val="both"/>
        <w:rPr>
          <w:rFonts w:ascii="Times New Roman" w:eastAsia="Times New Roman" w:hAnsi="Times New Roman" w:cs="Times New Roman"/>
          <w:sz w:val="24"/>
          <w:szCs w:val="24"/>
          <w:lang w:val="en-US"/>
        </w:rPr>
      </w:pPr>
    </w:p>
    <w:p w14:paraId="2D24C991" w14:textId="6B919D0B"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987B59">
        <w:rPr>
          <w:rFonts w:ascii="Times New Roman" w:eastAsia="Times New Roman" w:hAnsi="Times New Roman" w:cs="Times New Roman"/>
          <w:sz w:val="24"/>
          <w:szCs w:val="24"/>
          <w:lang w:val="en-US"/>
        </w:rPr>
        <w:t xml:space="preserve">D’Angelo, P., &amp; Kuypers, J.A. (Eds.). (2010). </w:t>
      </w:r>
      <w:r w:rsidRPr="00A554CA">
        <w:rPr>
          <w:rFonts w:ascii="Times New Roman" w:eastAsia="Times New Roman" w:hAnsi="Times New Roman" w:cs="Times New Roman"/>
          <w:i/>
          <w:iCs/>
          <w:sz w:val="24"/>
          <w:szCs w:val="24"/>
          <w:lang w:val="en-US"/>
        </w:rPr>
        <w:t xml:space="preserve">Doing framing analysis: </w:t>
      </w:r>
      <w:r w:rsidR="00A554CA" w:rsidRPr="00A554CA">
        <w:rPr>
          <w:rFonts w:ascii="Times New Roman" w:eastAsia="Times New Roman" w:hAnsi="Times New Roman" w:cs="Times New Roman"/>
          <w:i/>
          <w:iCs/>
          <w:sz w:val="24"/>
          <w:szCs w:val="24"/>
          <w:lang w:val="en-US"/>
        </w:rPr>
        <w:t>e</w:t>
      </w:r>
      <w:r w:rsidRPr="00A554CA">
        <w:rPr>
          <w:rFonts w:ascii="Times New Roman" w:eastAsia="Times New Roman" w:hAnsi="Times New Roman" w:cs="Times New Roman"/>
          <w:i/>
          <w:iCs/>
          <w:sz w:val="24"/>
          <w:szCs w:val="24"/>
          <w:lang w:val="en-US"/>
        </w:rPr>
        <w:t>mpirical and theoretical perspectives</w:t>
      </w:r>
      <w:r w:rsidRPr="00987B59">
        <w:rPr>
          <w:rFonts w:ascii="Times New Roman" w:eastAsia="Times New Roman" w:hAnsi="Times New Roman" w:cs="Times New Roman"/>
          <w:sz w:val="24"/>
          <w:szCs w:val="24"/>
          <w:lang w:val="en-US"/>
        </w:rPr>
        <w:t xml:space="preserve">. </w:t>
      </w:r>
      <w:r w:rsidRPr="00ED2EFB">
        <w:rPr>
          <w:rFonts w:ascii="Times New Roman" w:eastAsia="Times New Roman" w:hAnsi="Times New Roman" w:cs="Times New Roman"/>
          <w:sz w:val="24"/>
          <w:szCs w:val="24"/>
        </w:rPr>
        <w:t>Routledge.</w:t>
      </w:r>
    </w:p>
    <w:p w14:paraId="2D24C992"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93" w14:textId="170478EC" w:rsidR="0044203F"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Erazo‑Patiño, L.A., Laverde‑Rodríguez, C.A., &amp; Devia‑Acevedo, E.D. (2024). Medios digitales y percepción de la violencia: Un análisis de la expansión del Tren de Aragua. </w:t>
      </w:r>
      <w:r w:rsidRPr="000B0BF8">
        <w:rPr>
          <w:rFonts w:ascii="Times New Roman" w:eastAsia="Times New Roman" w:hAnsi="Times New Roman" w:cs="Times New Roman"/>
          <w:i/>
          <w:iCs/>
          <w:sz w:val="24"/>
          <w:szCs w:val="24"/>
        </w:rPr>
        <w:t>Revista Científica General José María Córdova, 22</w:t>
      </w:r>
      <w:r w:rsidRPr="00ED2EFB">
        <w:rPr>
          <w:rFonts w:ascii="Times New Roman" w:eastAsia="Times New Roman" w:hAnsi="Times New Roman" w:cs="Times New Roman"/>
          <w:sz w:val="24"/>
          <w:szCs w:val="24"/>
        </w:rPr>
        <w:t xml:space="preserve">(46), 457–482. </w:t>
      </w:r>
      <w:hyperlink r:id="rId16" w:history="1">
        <w:r w:rsidR="0034717F" w:rsidRPr="00ED2EFB">
          <w:rPr>
            <w:rStyle w:val="Hipervnculo"/>
            <w:rFonts w:ascii="Times New Roman" w:eastAsia="Times New Roman" w:hAnsi="Times New Roman" w:cs="Times New Roman"/>
            <w:sz w:val="24"/>
            <w:szCs w:val="24"/>
          </w:rPr>
          <w:t>https://doi.org/10.21830/19006586.1287</w:t>
        </w:r>
      </w:hyperlink>
      <w:r w:rsidR="0034717F" w:rsidRPr="00ED2EFB">
        <w:rPr>
          <w:rFonts w:ascii="Times New Roman" w:eastAsia="Times New Roman" w:hAnsi="Times New Roman" w:cs="Times New Roman"/>
          <w:sz w:val="24"/>
          <w:szCs w:val="24"/>
        </w:rPr>
        <w:t xml:space="preserve"> </w:t>
      </w:r>
    </w:p>
    <w:p w14:paraId="1E036D4A" w14:textId="77777777" w:rsidR="006E7F15" w:rsidRDefault="006E7F15">
      <w:pPr>
        <w:spacing w:after="0" w:line="240" w:lineRule="auto"/>
        <w:ind w:firstLine="709"/>
        <w:jc w:val="both"/>
        <w:rPr>
          <w:rFonts w:ascii="Times New Roman" w:eastAsia="Times New Roman" w:hAnsi="Times New Roman" w:cs="Times New Roman"/>
          <w:sz w:val="24"/>
          <w:szCs w:val="24"/>
        </w:rPr>
      </w:pPr>
    </w:p>
    <w:p w14:paraId="6706E508" w14:textId="28AB241B" w:rsidR="006E7F15" w:rsidRPr="0005093B" w:rsidRDefault="006E7F15">
      <w:pPr>
        <w:spacing w:after="0" w:line="240" w:lineRule="auto"/>
        <w:ind w:firstLine="709"/>
        <w:jc w:val="both"/>
        <w:rPr>
          <w:rFonts w:ascii="Times New Roman" w:eastAsia="Times New Roman" w:hAnsi="Times New Roman" w:cs="Times New Roman"/>
          <w:sz w:val="24"/>
          <w:szCs w:val="24"/>
          <w:lang w:val="en-US"/>
        </w:rPr>
      </w:pPr>
      <w:r w:rsidRPr="006E7F15">
        <w:rPr>
          <w:rFonts w:ascii="Times New Roman" w:eastAsia="Times New Roman" w:hAnsi="Times New Roman" w:cs="Times New Roman"/>
          <w:sz w:val="24"/>
          <w:szCs w:val="24"/>
        </w:rPr>
        <w:t xml:space="preserve">Erazo-Patiño, L., Laverde-Rodríguez, C.A., </w:t>
      </w:r>
      <w:r w:rsidR="000B0BF8">
        <w:rPr>
          <w:rFonts w:ascii="Times New Roman" w:eastAsia="Times New Roman" w:hAnsi="Times New Roman" w:cs="Times New Roman"/>
          <w:sz w:val="24"/>
          <w:szCs w:val="24"/>
        </w:rPr>
        <w:t xml:space="preserve">&amp; </w:t>
      </w:r>
      <w:r w:rsidRPr="006E7F15">
        <w:rPr>
          <w:rFonts w:ascii="Times New Roman" w:eastAsia="Times New Roman" w:hAnsi="Times New Roman" w:cs="Times New Roman"/>
          <w:sz w:val="24"/>
          <w:szCs w:val="24"/>
        </w:rPr>
        <w:t xml:space="preserve">Devia-Acevedo, E.D. (2025). </w:t>
      </w:r>
      <w:r w:rsidRPr="006E7F15">
        <w:rPr>
          <w:rFonts w:ascii="Times New Roman" w:eastAsia="Times New Roman" w:hAnsi="Times New Roman" w:cs="Times New Roman"/>
          <w:sz w:val="24"/>
          <w:szCs w:val="24"/>
          <w:lang w:val="en-US"/>
        </w:rPr>
        <w:t xml:space="preserve">Narratives and criminal diversification of transnational multi-crime: the case of the Tren de Aragua on </w:t>
      </w:r>
      <w:proofErr w:type="spellStart"/>
      <w:r w:rsidRPr="006E7F15">
        <w:rPr>
          <w:rFonts w:ascii="Times New Roman" w:eastAsia="Times New Roman" w:hAnsi="Times New Roman" w:cs="Times New Roman"/>
          <w:sz w:val="24"/>
          <w:szCs w:val="24"/>
          <w:lang w:val="en-US"/>
        </w:rPr>
        <w:t>Tiktok</w:t>
      </w:r>
      <w:proofErr w:type="spellEnd"/>
      <w:r w:rsidRPr="006E7F15">
        <w:rPr>
          <w:rFonts w:ascii="Times New Roman" w:eastAsia="Times New Roman" w:hAnsi="Times New Roman" w:cs="Times New Roman"/>
          <w:sz w:val="24"/>
          <w:szCs w:val="24"/>
          <w:lang w:val="en-US"/>
        </w:rPr>
        <w:t xml:space="preserve">. </w:t>
      </w:r>
      <w:r w:rsidRPr="0005093B">
        <w:rPr>
          <w:rFonts w:ascii="Times New Roman" w:eastAsia="Times New Roman" w:hAnsi="Times New Roman" w:cs="Times New Roman"/>
          <w:i/>
          <w:iCs/>
          <w:sz w:val="24"/>
          <w:szCs w:val="24"/>
          <w:lang w:val="en-US"/>
        </w:rPr>
        <w:t xml:space="preserve">Revista </w:t>
      </w:r>
      <w:proofErr w:type="spellStart"/>
      <w:r w:rsidRPr="0005093B">
        <w:rPr>
          <w:rFonts w:ascii="Times New Roman" w:eastAsia="Times New Roman" w:hAnsi="Times New Roman" w:cs="Times New Roman"/>
          <w:i/>
          <w:iCs/>
          <w:sz w:val="24"/>
          <w:szCs w:val="24"/>
          <w:lang w:val="en-US"/>
        </w:rPr>
        <w:t>Criminalidad</w:t>
      </w:r>
      <w:proofErr w:type="spellEnd"/>
      <w:r w:rsidRPr="0005093B">
        <w:rPr>
          <w:rFonts w:ascii="Times New Roman" w:eastAsia="Times New Roman" w:hAnsi="Times New Roman" w:cs="Times New Roman"/>
          <w:sz w:val="24"/>
          <w:szCs w:val="24"/>
          <w:lang w:val="en-US"/>
        </w:rPr>
        <w:t xml:space="preserve">, </w:t>
      </w:r>
      <w:r w:rsidRPr="0005093B">
        <w:rPr>
          <w:rFonts w:ascii="Times New Roman" w:eastAsia="Times New Roman" w:hAnsi="Times New Roman" w:cs="Times New Roman"/>
          <w:i/>
          <w:iCs/>
          <w:sz w:val="24"/>
          <w:szCs w:val="24"/>
          <w:lang w:val="en-US"/>
        </w:rPr>
        <w:t>67</w:t>
      </w:r>
      <w:r w:rsidRPr="0005093B">
        <w:rPr>
          <w:rFonts w:ascii="Times New Roman" w:eastAsia="Times New Roman" w:hAnsi="Times New Roman" w:cs="Times New Roman"/>
          <w:sz w:val="24"/>
          <w:szCs w:val="24"/>
          <w:lang w:val="en-US"/>
        </w:rPr>
        <w:t xml:space="preserve">(1), 13-24. </w:t>
      </w:r>
      <w:hyperlink r:id="rId17" w:tgtFrame="_blank" w:history="1">
        <w:r w:rsidRPr="0005093B">
          <w:rPr>
            <w:rStyle w:val="Hipervnculo"/>
            <w:rFonts w:ascii="Times New Roman" w:eastAsia="Times New Roman" w:hAnsi="Times New Roman" w:cs="Times New Roman"/>
            <w:sz w:val="24"/>
            <w:szCs w:val="24"/>
            <w:lang w:val="en-US"/>
          </w:rPr>
          <w:t>https://doi.org/10.47741/17943108.681</w:t>
        </w:r>
      </w:hyperlink>
      <w:r w:rsidRPr="0005093B">
        <w:rPr>
          <w:rFonts w:ascii="Times New Roman" w:eastAsia="Times New Roman" w:hAnsi="Times New Roman" w:cs="Times New Roman"/>
          <w:sz w:val="24"/>
          <w:szCs w:val="24"/>
          <w:lang w:val="en-US"/>
        </w:rPr>
        <w:t xml:space="preserve"> </w:t>
      </w:r>
    </w:p>
    <w:p w14:paraId="2D24C994" w14:textId="77777777" w:rsidR="0044203F" w:rsidRPr="0005093B" w:rsidRDefault="0044203F">
      <w:pPr>
        <w:spacing w:after="0" w:line="240" w:lineRule="auto"/>
        <w:ind w:firstLine="709"/>
        <w:jc w:val="both"/>
        <w:rPr>
          <w:rFonts w:ascii="Times New Roman" w:eastAsia="Times New Roman" w:hAnsi="Times New Roman" w:cs="Times New Roman"/>
          <w:sz w:val="24"/>
          <w:szCs w:val="24"/>
          <w:lang w:val="en-US"/>
        </w:rPr>
      </w:pPr>
    </w:p>
    <w:p w14:paraId="2D24C996" w14:textId="577E696A" w:rsidR="0044203F" w:rsidRPr="00987B59" w:rsidRDefault="00586DF7" w:rsidP="0034717F">
      <w:pPr>
        <w:spacing w:after="0" w:line="240" w:lineRule="auto"/>
        <w:ind w:firstLine="709"/>
        <w:jc w:val="both"/>
        <w:rPr>
          <w:rFonts w:ascii="Times New Roman" w:eastAsia="Times New Roman" w:hAnsi="Times New Roman" w:cs="Times New Roman"/>
          <w:sz w:val="24"/>
          <w:szCs w:val="24"/>
          <w:lang w:val="en-US"/>
        </w:rPr>
      </w:pPr>
      <w:r w:rsidRPr="00987B59">
        <w:rPr>
          <w:rFonts w:ascii="Times New Roman" w:eastAsia="Times New Roman" w:hAnsi="Times New Roman" w:cs="Times New Roman"/>
          <w:sz w:val="24"/>
          <w:szCs w:val="24"/>
          <w:lang w:val="en-US"/>
        </w:rPr>
        <w:lastRenderedPageBreak/>
        <w:t xml:space="preserve">Fairclough, N. (1995). </w:t>
      </w:r>
      <w:r w:rsidRPr="008E24F9">
        <w:rPr>
          <w:rFonts w:ascii="Times New Roman" w:eastAsia="Times New Roman" w:hAnsi="Times New Roman" w:cs="Times New Roman"/>
          <w:i/>
          <w:iCs/>
          <w:sz w:val="24"/>
          <w:szCs w:val="24"/>
          <w:lang w:val="en-US"/>
        </w:rPr>
        <w:t>Critical discourse analysis: The critical study of language</w:t>
      </w:r>
      <w:r w:rsidRPr="00987B59">
        <w:rPr>
          <w:rFonts w:ascii="Times New Roman" w:eastAsia="Times New Roman" w:hAnsi="Times New Roman" w:cs="Times New Roman"/>
          <w:sz w:val="24"/>
          <w:szCs w:val="24"/>
          <w:lang w:val="en-US"/>
        </w:rPr>
        <w:t>. Longman.</w:t>
      </w:r>
    </w:p>
    <w:p w14:paraId="5F0C7431" w14:textId="77777777" w:rsidR="0037672A" w:rsidRPr="00987B59" w:rsidRDefault="0037672A">
      <w:pPr>
        <w:spacing w:after="0" w:line="240" w:lineRule="auto"/>
        <w:ind w:firstLine="709"/>
        <w:jc w:val="both"/>
        <w:rPr>
          <w:rFonts w:ascii="Times New Roman" w:eastAsia="Times New Roman" w:hAnsi="Times New Roman" w:cs="Times New Roman"/>
          <w:sz w:val="24"/>
          <w:szCs w:val="24"/>
          <w:lang w:val="en-US"/>
        </w:rPr>
      </w:pPr>
    </w:p>
    <w:p w14:paraId="37F741C5" w14:textId="46E38200" w:rsidR="0037672A" w:rsidRPr="008D49B4" w:rsidRDefault="0037672A">
      <w:pPr>
        <w:spacing w:after="0" w:line="240" w:lineRule="auto"/>
        <w:ind w:firstLine="709"/>
        <w:jc w:val="both"/>
        <w:rPr>
          <w:rFonts w:ascii="Times New Roman" w:eastAsia="Times New Roman" w:hAnsi="Times New Roman" w:cs="Times New Roman"/>
          <w:sz w:val="24"/>
          <w:szCs w:val="24"/>
          <w:lang w:val="en-US"/>
        </w:rPr>
      </w:pPr>
      <w:r w:rsidRPr="00987B59">
        <w:rPr>
          <w:rFonts w:ascii="Times New Roman" w:eastAsia="Times New Roman" w:hAnsi="Times New Roman" w:cs="Times New Roman"/>
          <w:sz w:val="24"/>
          <w:szCs w:val="24"/>
          <w:lang w:val="en-US"/>
        </w:rPr>
        <w:t xml:space="preserve">Gilman, N., Goldhammer, J., </w:t>
      </w:r>
      <w:r w:rsidR="008E24F9">
        <w:rPr>
          <w:rFonts w:ascii="Times New Roman" w:eastAsia="Times New Roman" w:hAnsi="Times New Roman" w:cs="Times New Roman"/>
          <w:sz w:val="24"/>
          <w:szCs w:val="24"/>
          <w:lang w:val="en-US"/>
        </w:rPr>
        <w:t xml:space="preserve">&amp; </w:t>
      </w:r>
      <w:r w:rsidRPr="00987B59">
        <w:rPr>
          <w:rFonts w:ascii="Times New Roman" w:eastAsia="Times New Roman" w:hAnsi="Times New Roman" w:cs="Times New Roman"/>
          <w:sz w:val="24"/>
          <w:szCs w:val="24"/>
          <w:lang w:val="en-US"/>
        </w:rPr>
        <w:t xml:space="preserve">Weber, S. (Eds.). (2011). </w:t>
      </w:r>
      <w:r w:rsidRPr="00987B59">
        <w:rPr>
          <w:rFonts w:ascii="Times New Roman" w:eastAsia="Times New Roman" w:hAnsi="Times New Roman" w:cs="Times New Roman"/>
          <w:i/>
          <w:iCs/>
          <w:sz w:val="24"/>
          <w:szCs w:val="24"/>
          <w:lang w:val="en-US"/>
        </w:rPr>
        <w:t xml:space="preserve">Deviant Globalization: </w:t>
      </w:r>
      <w:r w:rsidR="00B30DEB">
        <w:rPr>
          <w:rFonts w:ascii="Times New Roman" w:eastAsia="Times New Roman" w:hAnsi="Times New Roman" w:cs="Times New Roman"/>
          <w:i/>
          <w:iCs/>
          <w:sz w:val="24"/>
          <w:szCs w:val="24"/>
          <w:lang w:val="en-US"/>
        </w:rPr>
        <w:t>b</w:t>
      </w:r>
      <w:r w:rsidRPr="00987B59">
        <w:rPr>
          <w:rFonts w:ascii="Times New Roman" w:eastAsia="Times New Roman" w:hAnsi="Times New Roman" w:cs="Times New Roman"/>
          <w:i/>
          <w:iCs/>
          <w:sz w:val="24"/>
          <w:szCs w:val="24"/>
          <w:lang w:val="en-US"/>
        </w:rPr>
        <w:t xml:space="preserve">lack </w:t>
      </w:r>
      <w:r w:rsidR="00B30DEB">
        <w:rPr>
          <w:rFonts w:ascii="Times New Roman" w:eastAsia="Times New Roman" w:hAnsi="Times New Roman" w:cs="Times New Roman"/>
          <w:i/>
          <w:iCs/>
          <w:sz w:val="24"/>
          <w:szCs w:val="24"/>
          <w:lang w:val="en-US"/>
        </w:rPr>
        <w:t>m</w:t>
      </w:r>
      <w:r w:rsidRPr="00987B59">
        <w:rPr>
          <w:rFonts w:ascii="Times New Roman" w:eastAsia="Times New Roman" w:hAnsi="Times New Roman" w:cs="Times New Roman"/>
          <w:i/>
          <w:iCs/>
          <w:sz w:val="24"/>
          <w:szCs w:val="24"/>
          <w:lang w:val="en-US"/>
        </w:rPr>
        <w:t xml:space="preserve">arket </w:t>
      </w:r>
      <w:r w:rsidR="00B30DEB">
        <w:rPr>
          <w:rFonts w:ascii="Times New Roman" w:eastAsia="Times New Roman" w:hAnsi="Times New Roman" w:cs="Times New Roman"/>
          <w:i/>
          <w:iCs/>
          <w:sz w:val="24"/>
          <w:szCs w:val="24"/>
          <w:lang w:val="en-US"/>
        </w:rPr>
        <w:t>e</w:t>
      </w:r>
      <w:r w:rsidRPr="00987B59">
        <w:rPr>
          <w:rFonts w:ascii="Times New Roman" w:eastAsia="Times New Roman" w:hAnsi="Times New Roman" w:cs="Times New Roman"/>
          <w:i/>
          <w:iCs/>
          <w:sz w:val="24"/>
          <w:szCs w:val="24"/>
          <w:lang w:val="en-US"/>
        </w:rPr>
        <w:t>conomy in the 21st Century</w:t>
      </w:r>
      <w:r w:rsidRPr="00987B59">
        <w:rPr>
          <w:rFonts w:ascii="Times New Roman" w:eastAsia="Times New Roman" w:hAnsi="Times New Roman" w:cs="Times New Roman"/>
          <w:sz w:val="24"/>
          <w:szCs w:val="24"/>
          <w:lang w:val="en-US"/>
        </w:rPr>
        <w:t xml:space="preserve">. </w:t>
      </w:r>
      <w:r w:rsidRPr="008D49B4">
        <w:rPr>
          <w:rFonts w:ascii="Times New Roman" w:eastAsia="Times New Roman" w:hAnsi="Times New Roman" w:cs="Times New Roman"/>
          <w:sz w:val="24"/>
          <w:szCs w:val="24"/>
          <w:lang w:val="en-US"/>
        </w:rPr>
        <w:t>Bloomsbury Academic.</w:t>
      </w:r>
    </w:p>
    <w:p w14:paraId="2D24C998" w14:textId="77777777" w:rsidR="0044203F" w:rsidRPr="008D49B4" w:rsidRDefault="0044203F">
      <w:pPr>
        <w:spacing w:after="0" w:line="240" w:lineRule="auto"/>
        <w:ind w:firstLine="709"/>
        <w:jc w:val="both"/>
        <w:rPr>
          <w:rFonts w:ascii="Times New Roman" w:eastAsia="Times New Roman" w:hAnsi="Times New Roman" w:cs="Times New Roman"/>
          <w:sz w:val="24"/>
          <w:szCs w:val="24"/>
          <w:lang w:val="en-US"/>
        </w:rPr>
      </w:pPr>
    </w:p>
    <w:p w14:paraId="2D24C99A" w14:textId="7158F78C" w:rsidR="0044203F" w:rsidRPr="00ED2EFB" w:rsidRDefault="00586DF7" w:rsidP="00A44C79">
      <w:pPr>
        <w:spacing w:after="0" w:line="240" w:lineRule="auto"/>
        <w:ind w:firstLine="709"/>
        <w:jc w:val="both"/>
        <w:rPr>
          <w:rFonts w:ascii="Times New Roman" w:eastAsia="Times New Roman" w:hAnsi="Times New Roman" w:cs="Times New Roman"/>
          <w:sz w:val="24"/>
          <w:szCs w:val="24"/>
        </w:rPr>
      </w:pPr>
      <w:r w:rsidRPr="008D49B4">
        <w:rPr>
          <w:rFonts w:ascii="Times New Roman" w:eastAsia="Times New Roman" w:hAnsi="Times New Roman" w:cs="Times New Roman"/>
          <w:sz w:val="24"/>
          <w:szCs w:val="24"/>
          <w:lang w:val="en-US"/>
        </w:rPr>
        <w:t xml:space="preserve">Gómez, J.D.V., Álvarez, S.R., Serna, N., Machado, D.B., &amp; </w:t>
      </w:r>
      <w:proofErr w:type="spellStart"/>
      <w:r w:rsidRPr="008D49B4">
        <w:rPr>
          <w:rFonts w:ascii="Times New Roman" w:eastAsia="Times New Roman" w:hAnsi="Times New Roman" w:cs="Times New Roman"/>
          <w:sz w:val="24"/>
          <w:szCs w:val="24"/>
          <w:lang w:val="en-US"/>
        </w:rPr>
        <w:t>Atehortúa</w:t>
      </w:r>
      <w:proofErr w:type="spellEnd"/>
      <w:r w:rsidRPr="008D49B4">
        <w:rPr>
          <w:rFonts w:ascii="Times New Roman" w:eastAsia="Times New Roman" w:hAnsi="Times New Roman" w:cs="Times New Roman"/>
          <w:sz w:val="24"/>
          <w:szCs w:val="24"/>
          <w:lang w:val="en-US"/>
        </w:rPr>
        <w:t xml:space="preserve">, C.E.E. (2019). </w:t>
      </w:r>
      <w:r w:rsidRPr="00ED2EFB">
        <w:rPr>
          <w:rFonts w:ascii="Times New Roman" w:eastAsia="Times New Roman" w:hAnsi="Times New Roman" w:cs="Times New Roman"/>
          <w:sz w:val="24"/>
          <w:szCs w:val="24"/>
        </w:rPr>
        <w:t xml:space="preserve">Orientaciones emocionales colectivas sobre el conflicto armado y sus actores como barreras para la construcción de la paz y la reconciliación en Colombia. </w:t>
      </w:r>
      <w:r w:rsidRPr="005F5A7C">
        <w:rPr>
          <w:rFonts w:ascii="Times New Roman" w:eastAsia="Times New Roman" w:hAnsi="Times New Roman" w:cs="Times New Roman"/>
          <w:i/>
          <w:iCs/>
          <w:sz w:val="24"/>
          <w:szCs w:val="24"/>
        </w:rPr>
        <w:t>El Ágora USB, 19</w:t>
      </w:r>
      <w:r w:rsidRPr="00ED2EFB">
        <w:rPr>
          <w:rFonts w:ascii="Times New Roman" w:eastAsia="Times New Roman" w:hAnsi="Times New Roman" w:cs="Times New Roman"/>
          <w:sz w:val="24"/>
          <w:szCs w:val="24"/>
        </w:rPr>
        <w:t>(1), 35–63. https://doi.org/10.21500/16578031.4122</w:t>
      </w:r>
    </w:p>
    <w:p w14:paraId="2D24C99E" w14:textId="589FFD7E" w:rsidR="0044203F" w:rsidRPr="00ED2EFB" w:rsidRDefault="0034717F">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 </w:t>
      </w:r>
    </w:p>
    <w:p w14:paraId="2D24C99F" w14:textId="35172534"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Jiménez, M.C.J. (2023). Estadio de desarrollo de la movilización social colombiana en 2021: Las emociones como recurso estratégico. </w:t>
      </w:r>
      <w:r w:rsidRPr="005F5A7C">
        <w:rPr>
          <w:rFonts w:ascii="Times New Roman" w:eastAsia="Times New Roman" w:hAnsi="Times New Roman" w:cs="Times New Roman"/>
          <w:i/>
          <w:iCs/>
          <w:sz w:val="24"/>
          <w:szCs w:val="24"/>
        </w:rPr>
        <w:t>Estudios Políticos,</w:t>
      </w:r>
      <w:r w:rsidRPr="00ED2EFB">
        <w:rPr>
          <w:rFonts w:ascii="Times New Roman" w:eastAsia="Times New Roman" w:hAnsi="Times New Roman" w:cs="Times New Roman"/>
          <w:sz w:val="24"/>
          <w:szCs w:val="24"/>
        </w:rPr>
        <w:t xml:space="preserve"> (68), 168–196. </w:t>
      </w:r>
      <w:hyperlink r:id="rId18" w:history="1">
        <w:r w:rsidR="0034717F" w:rsidRPr="00ED2EFB">
          <w:rPr>
            <w:rStyle w:val="Hipervnculo"/>
            <w:rFonts w:ascii="Times New Roman" w:eastAsia="Times New Roman" w:hAnsi="Times New Roman" w:cs="Times New Roman"/>
            <w:sz w:val="24"/>
            <w:szCs w:val="24"/>
          </w:rPr>
          <w:t>https://doi.org/10.17533/udea.espo.n68a08</w:t>
        </w:r>
      </w:hyperlink>
      <w:r w:rsidR="0034717F" w:rsidRPr="00ED2EFB">
        <w:rPr>
          <w:rFonts w:ascii="Times New Roman" w:eastAsia="Times New Roman" w:hAnsi="Times New Roman" w:cs="Times New Roman"/>
          <w:sz w:val="24"/>
          <w:szCs w:val="24"/>
        </w:rPr>
        <w:t xml:space="preserve"> </w:t>
      </w:r>
    </w:p>
    <w:p w14:paraId="2D24C9A0"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A1" w14:textId="0241C5A8" w:rsidR="0044203F" w:rsidRPr="00ED2EFB" w:rsidRDefault="00586DF7">
      <w:pPr>
        <w:spacing w:after="0" w:line="240" w:lineRule="auto"/>
        <w:ind w:firstLine="709"/>
        <w:jc w:val="both"/>
        <w:rPr>
          <w:rFonts w:ascii="Times New Roman" w:eastAsia="Times New Roman" w:hAnsi="Times New Roman" w:cs="Times New Roman"/>
          <w:sz w:val="24"/>
          <w:szCs w:val="24"/>
        </w:rPr>
      </w:pPr>
      <w:proofErr w:type="spellStart"/>
      <w:r w:rsidRPr="00ED2EFB">
        <w:rPr>
          <w:rFonts w:ascii="Times New Roman" w:eastAsia="Times New Roman" w:hAnsi="Times New Roman" w:cs="Times New Roman"/>
          <w:sz w:val="24"/>
          <w:szCs w:val="24"/>
        </w:rPr>
        <w:t>KienyKe</w:t>
      </w:r>
      <w:proofErr w:type="spellEnd"/>
      <w:r w:rsidRPr="00ED2EFB">
        <w:rPr>
          <w:rFonts w:ascii="Times New Roman" w:eastAsia="Times New Roman" w:hAnsi="Times New Roman" w:cs="Times New Roman"/>
          <w:sz w:val="24"/>
          <w:szCs w:val="24"/>
        </w:rPr>
        <w:t xml:space="preserve">. (2023, 9 de febrero). Petro insinúa que Tren de Aragua tendría líderes de extrema derecha. </w:t>
      </w:r>
      <w:hyperlink r:id="rId19" w:history="1">
        <w:r w:rsidR="0034717F" w:rsidRPr="00ED2EFB">
          <w:rPr>
            <w:rStyle w:val="Hipervnculo"/>
            <w:rFonts w:ascii="Times New Roman" w:eastAsia="Times New Roman" w:hAnsi="Times New Roman" w:cs="Times New Roman"/>
            <w:sz w:val="24"/>
            <w:szCs w:val="24"/>
          </w:rPr>
          <w:t>https://www.kienyke.com/politica/petro-insinua-que-tren-de-aragua-tendria-lideres-de-extrema-derecha</w:t>
        </w:r>
      </w:hyperlink>
      <w:r w:rsidR="0034717F" w:rsidRPr="00ED2EFB">
        <w:rPr>
          <w:rFonts w:ascii="Times New Roman" w:eastAsia="Times New Roman" w:hAnsi="Times New Roman" w:cs="Times New Roman"/>
          <w:sz w:val="24"/>
          <w:szCs w:val="24"/>
        </w:rPr>
        <w:t xml:space="preserve"> </w:t>
      </w:r>
    </w:p>
    <w:p w14:paraId="2D24C9A2"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A5" w14:textId="3C4C1B54" w:rsidR="0044203F" w:rsidRPr="008D49B4" w:rsidRDefault="00586DF7">
      <w:pPr>
        <w:spacing w:after="0" w:line="240" w:lineRule="auto"/>
        <w:ind w:firstLine="709"/>
        <w:jc w:val="both"/>
        <w:rPr>
          <w:rFonts w:ascii="Times New Roman" w:eastAsia="Times New Roman" w:hAnsi="Times New Roman" w:cs="Times New Roman"/>
          <w:sz w:val="24"/>
          <w:szCs w:val="24"/>
          <w:lang w:val="en-US"/>
        </w:rPr>
      </w:pPr>
      <w:r w:rsidRPr="00ED2EFB">
        <w:rPr>
          <w:rFonts w:ascii="Times New Roman" w:eastAsia="Times New Roman" w:hAnsi="Times New Roman" w:cs="Times New Roman"/>
          <w:sz w:val="24"/>
          <w:szCs w:val="24"/>
        </w:rPr>
        <w:t xml:space="preserve">Mijares, V. M. (2015). Realismo neoclásico: ¿El retorno de los estudios internacionales a la ciencia política? </w:t>
      </w:r>
      <w:r w:rsidRPr="008D49B4">
        <w:rPr>
          <w:rFonts w:ascii="Times New Roman" w:eastAsia="Times New Roman" w:hAnsi="Times New Roman" w:cs="Times New Roman"/>
          <w:sz w:val="24"/>
          <w:szCs w:val="24"/>
          <w:lang w:val="es-CO"/>
        </w:rPr>
        <w:t>En S. E. Lobell, N. M. Ripsman, &amp; J.W. Taliaferro (Eds.)</w:t>
      </w:r>
      <w:r w:rsidR="00EC4264" w:rsidRPr="008D49B4">
        <w:rPr>
          <w:rFonts w:ascii="Times New Roman" w:eastAsia="Times New Roman" w:hAnsi="Times New Roman" w:cs="Times New Roman"/>
          <w:sz w:val="24"/>
          <w:szCs w:val="24"/>
          <w:lang w:val="es-CO"/>
        </w:rPr>
        <w:t xml:space="preserve">. </w:t>
      </w:r>
      <w:r w:rsidRPr="00EC4264">
        <w:rPr>
          <w:rFonts w:ascii="Times New Roman" w:eastAsia="Times New Roman" w:hAnsi="Times New Roman" w:cs="Times New Roman"/>
          <w:i/>
          <w:iCs/>
          <w:sz w:val="24"/>
          <w:szCs w:val="24"/>
          <w:lang w:val="en-US"/>
        </w:rPr>
        <w:t>Neoclassical realism, the state, and foreign policy</w:t>
      </w:r>
      <w:r w:rsidRPr="00987B59">
        <w:rPr>
          <w:rFonts w:ascii="Times New Roman" w:eastAsia="Times New Roman" w:hAnsi="Times New Roman" w:cs="Times New Roman"/>
          <w:sz w:val="24"/>
          <w:szCs w:val="24"/>
          <w:lang w:val="en-US"/>
        </w:rPr>
        <w:t xml:space="preserve"> (pp. 255–280). </w:t>
      </w:r>
      <w:r w:rsidRPr="008D49B4">
        <w:rPr>
          <w:rFonts w:ascii="Times New Roman" w:eastAsia="Times New Roman" w:hAnsi="Times New Roman" w:cs="Times New Roman"/>
          <w:sz w:val="24"/>
          <w:szCs w:val="24"/>
          <w:lang w:val="en-US"/>
        </w:rPr>
        <w:t>Cambridge University Press.</w:t>
      </w:r>
    </w:p>
    <w:p w14:paraId="2D24C9A6" w14:textId="77777777" w:rsidR="0044203F" w:rsidRPr="008D49B4" w:rsidRDefault="0044203F">
      <w:pPr>
        <w:spacing w:after="0" w:line="240" w:lineRule="auto"/>
        <w:ind w:firstLine="709"/>
        <w:jc w:val="both"/>
        <w:rPr>
          <w:rFonts w:ascii="Times New Roman" w:eastAsia="Times New Roman" w:hAnsi="Times New Roman" w:cs="Times New Roman"/>
          <w:sz w:val="24"/>
          <w:szCs w:val="24"/>
          <w:lang w:val="en-US"/>
        </w:rPr>
      </w:pPr>
    </w:p>
    <w:p w14:paraId="2D24C9A7" w14:textId="51C04AC2" w:rsidR="0044203F" w:rsidRPr="00987B59" w:rsidRDefault="00586DF7">
      <w:pPr>
        <w:spacing w:after="0" w:line="240" w:lineRule="auto"/>
        <w:ind w:firstLine="709"/>
        <w:jc w:val="both"/>
        <w:rPr>
          <w:rFonts w:ascii="Times New Roman" w:eastAsia="Times New Roman" w:hAnsi="Times New Roman" w:cs="Times New Roman"/>
          <w:sz w:val="24"/>
          <w:szCs w:val="24"/>
          <w:lang w:val="en-US"/>
        </w:rPr>
      </w:pPr>
      <w:r w:rsidRPr="00ED2EFB">
        <w:rPr>
          <w:rFonts w:ascii="Times New Roman" w:eastAsia="Times New Roman" w:hAnsi="Times New Roman" w:cs="Times New Roman"/>
          <w:sz w:val="24"/>
          <w:szCs w:val="24"/>
        </w:rPr>
        <w:t xml:space="preserve">NTN24. (2024, 16 de abril). Maduro responsabiliza a Duque y a Piñera de la expansión del Tren de Aragua por el continente: «Pongamos las cosas en su lugar». </w:t>
      </w:r>
      <w:hyperlink r:id="rId20" w:history="1">
        <w:r w:rsidR="0034717F" w:rsidRPr="00987B59">
          <w:rPr>
            <w:rStyle w:val="Hipervnculo"/>
            <w:rFonts w:ascii="Times New Roman" w:eastAsia="Times New Roman" w:hAnsi="Times New Roman" w:cs="Times New Roman"/>
            <w:sz w:val="24"/>
            <w:szCs w:val="24"/>
            <w:lang w:val="en-US"/>
          </w:rPr>
          <w:t>https://www.ntn24.com/</w:t>
        </w:r>
      </w:hyperlink>
      <w:r w:rsidR="0034717F" w:rsidRPr="00987B59">
        <w:rPr>
          <w:rFonts w:ascii="Times New Roman" w:eastAsia="Times New Roman" w:hAnsi="Times New Roman" w:cs="Times New Roman"/>
          <w:sz w:val="24"/>
          <w:szCs w:val="24"/>
          <w:lang w:val="en-US"/>
        </w:rPr>
        <w:t xml:space="preserve"> </w:t>
      </w:r>
    </w:p>
    <w:p w14:paraId="2D24C9A8" w14:textId="77777777" w:rsidR="0044203F" w:rsidRPr="00987B59" w:rsidRDefault="0044203F">
      <w:pPr>
        <w:spacing w:after="0" w:line="240" w:lineRule="auto"/>
        <w:ind w:firstLine="709"/>
        <w:jc w:val="both"/>
        <w:rPr>
          <w:rFonts w:ascii="Times New Roman" w:eastAsia="Times New Roman" w:hAnsi="Times New Roman" w:cs="Times New Roman"/>
          <w:sz w:val="24"/>
          <w:szCs w:val="24"/>
          <w:lang w:val="en-US"/>
        </w:rPr>
      </w:pPr>
    </w:p>
    <w:p w14:paraId="2D24C9A9" w14:textId="14F6CBD9"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987B59">
        <w:rPr>
          <w:rFonts w:ascii="Times New Roman" w:eastAsia="Times New Roman" w:hAnsi="Times New Roman" w:cs="Times New Roman"/>
          <w:sz w:val="24"/>
          <w:szCs w:val="24"/>
          <w:lang w:val="en-US"/>
        </w:rPr>
        <w:t xml:space="preserve">Nussbaum, M.C. (2013). </w:t>
      </w:r>
      <w:r w:rsidRPr="001E1EE0">
        <w:rPr>
          <w:rFonts w:ascii="Times New Roman" w:eastAsia="Times New Roman" w:hAnsi="Times New Roman" w:cs="Times New Roman"/>
          <w:i/>
          <w:iCs/>
          <w:sz w:val="24"/>
          <w:szCs w:val="24"/>
          <w:lang w:val="en-US"/>
        </w:rPr>
        <w:t xml:space="preserve">Political emotions: </w:t>
      </w:r>
      <w:r w:rsidR="00EC4264" w:rsidRPr="001E1EE0">
        <w:rPr>
          <w:rFonts w:ascii="Times New Roman" w:eastAsia="Times New Roman" w:hAnsi="Times New Roman" w:cs="Times New Roman"/>
          <w:i/>
          <w:iCs/>
          <w:sz w:val="24"/>
          <w:szCs w:val="24"/>
          <w:lang w:val="en-US"/>
        </w:rPr>
        <w:t>w</w:t>
      </w:r>
      <w:r w:rsidRPr="001E1EE0">
        <w:rPr>
          <w:rFonts w:ascii="Times New Roman" w:eastAsia="Times New Roman" w:hAnsi="Times New Roman" w:cs="Times New Roman"/>
          <w:i/>
          <w:iCs/>
          <w:sz w:val="24"/>
          <w:szCs w:val="24"/>
          <w:lang w:val="en-US"/>
        </w:rPr>
        <w:t>hy love matters for justice.</w:t>
      </w:r>
      <w:r w:rsidRPr="00987B59">
        <w:rPr>
          <w:rFonts w:ascii="Times New Roman" w:eastAsia="Times New Roman" w:hAnsi="Times New Roman" w:cs="Times New Roman"/>
          <w:sz w:val="24"/>
          <w:szCs w:val="24"/>
          <w:lang w:val="en-US"/>
        </w:rPr>
        <w:t xml:space="preserve"> </w:t>
      </w:r>
      <w:r w:rsidRPr="00ED2EFB">
        <w:rPr>
          <w:rFonts w:ascii="Times New Roman" w:eastAsia="Times New Roman" w:hAnsi="Times New Roman" w:cs="Times New Roman"/>
          <w:sz w:val="24"/>
          <w:szCs w:val="24"/>
        </w:rPr>
        <w:t>Harvard University Press.</w:t>
      </w:r>
    </w:p>
    <w:p w14:paraId="2D24C9AA"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AB" w14:textId="2D575AD7"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Perilla‑Daza, D.C. (2018). La </w:t>
      </w:r>
      <w:proofErr w:type="spellStart"/>
      <w:r w:rsidRPr="00ED2EFB">
        <w:rPr>
          <w:rFonts w:ascii="Times New Roman" w:eastAsia="Times New Roman" w:hAnsi="Times New Roman" w:cs="Times New Roman"/>
          <w:sz w:val="24"/>
          <w:szCs w:val="24"/>
        </w:rPr>
        <w:t>plebitusa</w:t>
      </w:r>
      <w:proofErr w:type="spellEnd"/>
      <w:r w:rsidRPr="00ED2EFB">
        <w:rPr>
          <w:rFonts w:ascii="Times New Roman" w:eastAsia="Times New Roman" w:hAnsi="Times New Roman" w:cs="Times New Roman"/>
          <w:sz w:val="24"/>
          <w:szCs w:val="24"/>
        </w:rPr>
        <w:t xml:space="preserve">: Movilización política de las emociones </w:t>
      </w:r>
      <w:proofErr w:type="spellStart"/>
      <w:r w:rsidRPr="00ED2EFB">
        <w:rPr>
          <w:rFonts w:ascii="Times New Roman" w:eastAsia="Times New Roman" w:hAnsi="Times New Roman" w:cs="Times New Roman"/>
          <w:sz w:val="24"/>
          <w:szCs w:val="24"/>
        </w:rPr>
        <w:t>posplebiscito</w:t>
      </w:r>
      <w:proofErr w:type="spellEnd"/>
      <w:r w:rsidRPr="00ED2EFB">
        <w:rPr>
          <w:rFonts w:ascii="Times New Roman" w:eastAsia="Times New Roman" w:hAnsi="Times New Roman" w:cs="Times New Roman"/>
          <w:sz w:val="24"/>
          <w:szCs w:val="24"/>
        </w:rPr>
        <w:t xml:space="preserve"> por la paz en Colombia. </w:t>
      </w:r>
      <w:r w:rsidRPr="001E1EE0">
        <w:rPr>
          <w:rFonts w:ascii="Times New Roman" w:eastAsia="Times New Roman" w:hAnsi="Times New Roman" w:cs="Times New Roman"/>
          <w:i/>
          <w:iCs/>
          <w:sz w:val="24"/>
          <w:szCs w:val="24"/>
        </w:rPr>
        <w:t>Maguaré, 32</w:t>
      </w:r>
      <w:r w:rsidRPr="00ED2EFB">
        <w:rPr>
          <w:rFonts w:ascii="Times New Roman" w:eastAsia="Times New Roman" w:hAnsi="Times New Roman" w:cs="Times New Roman"/>
          <w:sz w:val="24"/>
          <w:szCs w:val="24"/>
        </w:rPr>
        <w:t xml:space="preserve">(2), 153–181. </w:t>
      </w:r>
      <w:hyperlink r:id="rId21" w:history="1">
        <w:r w:rsidR="0034717F" w:rsidRPr="00ED2EFB">
          <w:rPr>
            <w:rStyle w:val="Hipervnculo"/>
            <w:rFonts w:ascii="Times New Roman" w:eastAsia="Times New Roman" w:hAnsi="Times New Roman" w:cs="Times New Roman"/>
            <w:sz w:val="24"/>
            <w:szCs w:val="24"/>
          </w:rPr>
          <w:t>https://doi.org/10.15446/mag.v32n2.77012</w:t>
        </w:r>
      </w:hyperlink>
      <w:r w:rsidR="0034717F" w:rsidRPr="00ED2EFB">
        <w:rPr>
          <w:rFonts w:ascii="Times New Roman" w:eastAsia="Times New Roman" w:hAnsi="Times New Roman" w:cs="Times New Roman"/>
          <w:sz w:val="24"/>
          <w:szCs w:val="24"/>
        </w:rPr>
        <w:t xml:space="preserve"> </w:t>
      </w:r>
    </w:p>
    <w:p w14:paraId="2D24C9AC"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AD" w14:textId="23F24992" w:rsidR="0044203F" w:rsidRPr="00ED2EFB"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Portafolio. (2024, 11 de abril). Nuevo cara a cara entre Venezuela y países de la región: ¿El Tren de Aragua no existe? </w:t>
      </w:r>
      <w:hyperlink r:id="rId22" w:history="1">
        <w:r w:rsidR="0034717F" w:rsidRPr="00ED2EFB">
          <w:rPr>
            <w:rStyle w:val="Hipervnculo"/>
            <w:rFonts w:ascii="Times New Roman" w:eastAsia="Times New Roman" w:hAnsi="Times New Roman" w:cs="Times New Roman"/>
            <w:sz w:val="24"/>
            <w:szCs w:val="24"/>
          </w:rPr>
          <w:t>https://www.portafolio.co/</w:t>
        </w:r>
      </w:hyperlink>
      <w:r w:rsidR="0034717F" w:rsidRPr="00ED2EFB">
        <w:rPr>
          <w:rFonts w:ascii="Times New Roman" w:eastAsia="Times New Roman" w:hAnsi="Times New Roman" w:cs="Times New Roman"/>
          <w:sz w:val="24"/>
          <w:szCs w:val="24"/>
        </w:rPr>
        <w:t xml:space="preserve"> </w:t>
      </w:r>
    </w:p>
    <w:p w14:paraId="2D24C9AE"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AF" w14:textId="3D75DBE3" w:rsidR="0044203F" w:rsidRDefault="00586DF7">
      <w:pPr>
        <w:spacing w:after="0" w:line="240" w:lineRule="auto"/>
        <w:ind w:firstLine="709"/>
        <w:jc w:val="both"/>
        <w:rPr>
          <w:rFonts w:ascii="Times New Roman" w:eastAsia="Times New Roman" w:hAnsi="Times New Roman" w:cs="Times New Roman"/>
          <w:sz w:val="24"/>
          <w:szCs w:val="24"/>
        </w:rPr>
      </w:pPr>
      <w:r w:rsidRPr="00ED2EFB">
        <w:rPr>
          <w:rFonts w:ascii="Times New Roman" w:eastAsia="Times New Roman" w:hAnsi="Times New Roman" w:cs="Times New Roman"/>
          <w:sz w:val="24"/>
          <w:szCs w:val="24"/>
        </w:rPr>
        <w:t xml:space="preserve">Preciado, A., Cajiao, A., Tobo, P., &amp; López, N. (2023). El camino de la </w:t>
      </w:r>
      <w:r w:rsidR="00D354AF">
        <w:rPr>
          <w:rFonts w:ascii="Times New Roman" w:eastAsia="Times New Roman" w:hAnsi="Times New Roman" w:cs="Times New Roman"/>
          <w:sz w:val="24"/>
          <w:szCs w:val="24"/>
        </w:rPr>
        <w:t>p</w:t>
      </w:r>
      <w:r w:rsidRPr="00ED2EFB">
        <w:rPr>
          <w:rFonts w:ascii="Times New Roman" w:eastAsia="Times New Roman" w:hAnsi="Times New Roman" w:cs="Times New Roman"/>
          <w:sz w:val="24"/>
          <w:szCs w:val="24"/>
        </w:rPr>
        <w:t xml:space="preserve">az </w:t>
      </w:r>
      <w:r w:rsidR="00D354AF">
        <w:rPr>
          <w:rFonts w:ascii="Times New Roman" w:eastAsia="Times New Roman" w:hAnsi="Times New Roman" w:cs="Times New Roman"/>
          <w:sz w:val="24"/>
          <w:szCs w:val="24"/>
        </w:rPr>
        <w:t>t</w:t>
      </w:r>
      <w:r w:rsidRPr="00ED2EFB">
        <w:rPr>
          <w:rFonts w:ascii="Times New Roman" w:eastAsia="Times New Roman" w:hAnsi="Times New Roman" w:cs="Times New Roman"/>
          <w:sz w:val="24"/>
          <w:szCs w:val="24"/>
        </w:rPr>
        <w:t xml:space="preserve">otal: </w:t>
      </w:r>
      <w:r w:rsidR="00D354AF">
        <w:rPr>
          <w:rFonts w:ascii="Times New Roman" w:eastAsia="Times New Roman" w:hAnsi="Times New Roman" w:cs="Times New Roman"/>
          <w:sz w:val="24"/>
          <w:szCs w:val="24"/>
        </w:rPr>
        <w:t>b</w:t>
      </w:r>
      <w:r w:rsidRPr="00ED2EFB">
        <w:rPr>
          <w:rFonts w:ascii="Times New Roman" w:eastAsia="Times New Roman" w:hAnsi="Times New Roman" w:cs="Times New Roman"/>
          <w:sz w:val="24"/>
          <w:szCs w:val="24"/>
        </w:rPr>
        <w:t>alance de la estrategia de negociación en el Gobierno de Gustavo Petro y</w:t>
      </w:r>
      <w:r w:rsidR="00D354AF">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oportunidades para la cooperación internacional [Informe técnico]. Fundación Ideas para la Paz.</w:t>
      </w:r>
      <w:r w:rsidR="00E21D00" w:rsidRPr="00E21D00">
        <w:rPr>
          <w:rFonts w:ascii="Times New Roman" w:eastAsia="Times New Roman" w:hAnsi="Times New Roman" w:cs="Times New Roman"/>
          <w:sz w:val="24"/>
          <w:szCs w:val="24"/>
        </w:rPr>
        <w:t xml:space="preserve"> </w:t>
      </w:r>
      <w:hyperlink r:id="rId23" w:history="1">
        <w:r w:rsidR="00E21D00" w:rsidRPr="003C369A">
          <w:rPr>
            <w:rStyle w:val="Hipervnculo"/>
            <w:rFonts w:ascii="Times New Roman" w:eastAsia="Times New Roman" w:hAnsi="Times New Roman" w:cs="Times New Roman"/>
            <w:sz w:val="24"/>
            <w:szCs w:val="24"/>
          </w:rPr>
          <w:t>https://www.google.com/url?sa=t&amp;source=web&amp;rct=j&amp;opi=89978449&amp;url=https://storage.ideaspaz.org/documents/fip_infome_segundoaniopetro_final.pdf&amp;ved=2ahUKEwie3qjw-pKTAxVKmIQIHT-wAGYQFnoECCcQAQ&amp;usg=AOvVaw3UrjIbA1bddW7QgeoSWyJW</w:t>
        </w:r>
      </w:hyperlink>
      <w:r w:rsidR="00E21D00">
        <w:rPr>
          <w:rFonts w:ascii="Times New Roman" w:eastAsia="Times New Roman" w:hAnsi="Times New Roman" w:cs="Times New Roman"/>
          <w:sz w:val="24"/>
          <w:szCs w:val="24"/>
        </w:rPr>
        <w:t xml:space="preserve"> </w:t>
      </w:r>
    </w:p>
    <w:p w14:paraId="01C912B4" w14:textId="77777777" w:rsidR="000B6C56" w:rsidRPr="00ED2EFB" w:rsidRDefault="000B6C56">
      <w:pPr>
        <w:spacing w:after="0" w:line="240" w:lineRule="auto"/>
        <w:ind w:firstLine="709"/>
        <w:jc w:val="both"/>
        <w:rPr>
          <w:rFonts w:ascii="Times New Roman" w:eastAsia="Times New Roman" w:hAnsi="Times New Roman" w:cs="Times New Roman"/>
          <w:sz w:val="24"/>
          <w:szCs w:val="24"/>
        </w:rPr>
      </w:pPr>
    </w:p>
    <w:p w14:paraId="2D24C9B0"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B1" w14:textId="7D1CD8EB" w:rsidR="0044203F" w:rsidRPr="00ED2EFB" w:rsidRDefault="00586DF7">
      <w:pPr>
        <w:spacing w:after="0" w:line="240" w:lineRule="auto"/>
        <w:ind w:firstLine="709"/>
        <w:jc w:val="both"/>
        <w:rPr>
          <w:rFonts w:ascii="Times New Roman" w:eastAsia="Times New Roman" w:hAnsi="Times New Roman" w:cs="Times New Roman"/>
          <w:sz w:val="24"/>
          <w:szCs w:val="24"/>
        </w:rPr>
      </w:pPr>
      <w:proofErr w:type="spellStart"/>
      <w:r w:rsidRPr="00ED2EFB">
        <w:rPr>
          <w:rFonts w:ascii="Times New Roman" w:eastAsia="Times New Roman" w:hAnsi="Times New Roman" w:cs="Times New Roman"/>
          <w:sz w:val="24"/>
          <w:szCs w:val="24"/>
        </w:rPr>
        <w:lastRenderedPageBreak/>
        <w:t>Pulzo</w:t>
      </w:r>
      <w:proofErr w:type="spellEnd"/>
      <w:r w:rsidRPr="00ED2EFB">
        <w:rPr>
          <w:rFonts w:ascii="Times New Roman" w:eastAsia="Times New Roman" w:hAnsi="Times New Roman" w:cs="Times New Roman"/>
          <w:sz w:val="24"/>
          <w:szCs w:val="24"/>
        </w:rPr>
        <w:t>. (2024, 14 de mayo). Murillo calla ante canciller de Maduro sobre Tren de Aragua, pero en EE. UU.</w:t>
      </w:r>
      <w:r w:rsidR="000B6C56">
        <w:rPr>
          <w:rFonts w:ascii="Times New Roman" w:eastAsia="Times New Roman" w:hAnsi="Times New Roman" w:cs="Times New Roman"/>
          <w:sz w:val="24"/>
          <w:szCs w:val="24"/>
        </w:rPr>
        <w:t xml:space="preserve">, </w:t>
      </w:r>
      <w:r w:rsidRPr="00ED2EFB">
        <w:rPr>
          <w:rFonts w:ascii="Times New Roman" w:eastAsia="Times New Roman" w:hAnsi="Times New Roman" w:cs="Times New Roman"/>
          <w:sz w:val="24"/>
          <w:szCs w:val="24"/>
        </w:rPr>
        <w:t xml:space="preserve">lo reconoce. </w:t>
      </w:r>
      <w:hyperlink r:id="rId24" w:history="1">
        <w:r w:rsidR="0034717F" w:rsidRPr="00ED2EFB">
          <w:rPr>
            <w:rStyle w:val="Hipervnculo"/>
            <w:rFonts w:ascii="Times New Roman" w:eastAsia="Times New Roman" w:hAnsi="Times New Roman" w:cs="Times New Roman"/>
            <w:sz w:val="24"/>
            <w:szCs w:val="24"/>
          </w:rPr>
          <w:t>https://www.pulzo.com/nacion/luis-gilberto-murillo-reconocio-que-tren-aragua-si-colombia-PP3564558</w:t>
        </w:r>
      </w:hyperlink>
      <w:r w:rsidR="0034717F" w:rsidRPr="00ED2EFB">
        <w:rPr>
          <w:rFonts w:ascii="Times New Roman" w:eastAsia="Times New Roman" w:hAnsi="Times New Roman" w:cs="Times New Roman"/>
          <w:sz w:val="24"/>
          <w:szCs w:val="24"/>
        </w:rPr>
        <w:t xml:space="preserve"> </w:t>
      </w:r>
    </w:p>
    <w:p w14:paraId="2D24C9B2"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2D24C9B3" w14:textId="4FCDAE0A" w:rsidR="0044203F" w:rsidRPr="0005093B" w:rsidRDefault="00586DF7">
      <w:pPr>
        <w:spacing w:after="0" w:line="240" w:lineRule="auto"/>
        <w:ind w:firstLine="709"/>
        <w:jc w:val="both"/>
        <w:rPr>
          <w:rFonts w:ascii="Times New Roman" w:eastAsia="Times New Roman" w:hAnsi="Times New Roman" w:cs="Times New Roman"/>
          <w:sz w:val="24"/>
          <w:szCs w:val="24"/>
          <w:lang w:val="es-CO"/>
        </w:rPr>
      </w:pPr>
      <w:proofErr w:type="spellStart"/>
      <w:r w:rsidRPr="00987B59">
        <w:rPr>
          <w:rFonts w:ascii="Times New Roman" w:eastAsia="Times New Roman" w:hAnsi="Times New Roman" w:cs="Times New Roman"/>
          <w:sz w:val="24"/>
          <w:szCs w:val="24"/>
          <w:lang w:val="en-US"/>
        </w:rPr>
        <w:t>Ripsman</w:t>
      </w:r>
      <w:proofErr w:type="spellEnd"/>
      <w:r w:rsidRPr="00987B59">
        <w:rPr>
          <w:rFonts w:ascii="Times New Roman" w:eastAsia="Times New Roman" w:hAnsi="Times New Roman" w:cs="Times New Roman"/>
          <w:sz w:val="24"/>
          <w:szCs w:val="24"/>
          <w:lang w:val="en-US"/>
        </w:rPr>
        <w:t xml:space="preserve">, N.M., Taliaferro, J.W., &amp; Lobell, S.E. (2016). </w:t>
      </w:r>
      <w:r w:rsidRPr="008739A9">
        <w:rPr>
          <w:rFonts w:ascii="Times New Roman" w:eastAsia="Times New Roman" w:hAnsi="Times New Roman" w:cs="Times New Roman"/>
          <w:i/>
          <w:iCs/>
          <w:sz w:val="24"/>
          <w:szCs w:val="24"/>
          <w:lang w:val="en-US"/>
        </w:rPr>
        <w:t>Neoclassical realist theory of international politics</w:t>
      </w:r>
      <w:r w:rsidRPr="00987B59">
        <w:rPr>
          <w:rFonts w:ascii="Times New Roman" w:eastAsia="Times New Roman" w:hAnsi="Times New Roman" w:cs="Times New Roman"/>
          <w:sz w:val="24"/>
          <w:szCs w:val="24"/>
          <w:lang w:val="en-US"/>
        </w:rPr>
        <w:t xml:space="preserve">. </w:t>
      </w:r>
      <w:r w:rsidRPr="0005093B">
        <w:rPr>
          <w:rFonts w:ascii="Times New Roman" w:eastAsia="Times New Roman" w:hAnsi="Times New Roman" w:cs="Times New Roman"/>
          <w:sz w:val="24"/>
          <w:szCs w:val="24"/>
          <w:lang w:val="es-CO"/>
        </w:rPr>
        <w:t>Oxford University Press.</w:t>
      </w:r>
    </w:p>
    <w:p w14:paraId="17E70D8C" w14:textId="77777777" w:rsidR="001B65FE" w:rsidRPr="0005093B" w:rsidRDefault="001B65FE">
      <w:pPr>
        <w:spacing w:after="0" w:line="240" w:lineRule="auto"/>
        <w:ind w:firstLine="709"/>
        <w:jc w:val="both"/>
        <w:rPr>
          <w:rFonts w:ascii="Times New Roman" w:eastAsia="Times New Roman" w:hAnsi="Times New Roman" w:cs="Times New Roman"/>
          <w:sz w:val="24"/>
          <w:szCs w:val="24"/>
          <w:lang w:val="es-CO"/>
        </w:rPr>
      </w:pPr>
    </w:p>
    <w:p w14:paraId="45B505C6" w14:textId="412DC4A3" w:rsidR="001B65FE" w:rsidRPr="00DC104E" w:rsidRDefault="001B65FE">
      <w:pPr>
        <w:spacing w:after="0" w:line="240" w:lineRule="auto"/>
        <w:ind w:firstLine="709"/>
        <w:jc w:val="both"/>
        <w:rPr>
          <w:rFonts w:ascii="Times New Roman" w:eastAsia="Times New Roman" w:hAnsi="Times New Roman" w:cs="Times New Roman"/>
          <w:sz w:val="24"/>
          <w:szCs w:val="24"/>
          <w:lang w:val="en-US"/>
        </w:rPr>
      </w:pPr>
      <w:proofErr w:type="spellStart"/>
      <w:r w:rsidRPr="001B65FE">
        <w:rPr>
          <w:rFonts w:ascii="Times New Roman" w:eastAsia="Times New Roman" w:hAnsi="Times New Roman" w:cs="Times New Roman"/>
          <w:sz w:val="24"/>
          <w:szCs w:val="24"/>
        </w:rPr>
        <w:t>Rísquez</w:t>
      </w:r>
      <w:proofErr w:type="spellEnd"/>
      <w:r w:rsidRPr="001B65FE">
        <w:rPr>
          <w:rFonts w:ascii="Times New Roman" w:eastAsia="Times New Roman" w:hAnsi="Times New Roman" w:cs="Times New Roman"/>
          <w:sz w:val="24"/>
          <w:szCs w:val="24"/>
        </w:rPr>
        <w:t xml:space="preserve">, R. (2023). </w:t>
      </w:r>
      <w:r w:rsidRPr="001B65FE">
        <w:rPr>
          <w:rFonts w:ascii="Times New Roman" w:eastAsia="Times New Roman" w:hAnsi="Times New Roman" w:cs="Times New Roman"/>
          <w:i/>
          <w:iCs/>
          <w:sz w:val="24"/>
          <w:szCs w:val="24"/>
        </w:rPr>
        <w:t>Tren de Aragua: La banda que revolucionó el crimen organizado en América Latina</w:t>
      </w:r>
      <w:r w:rsidRPr="001B65FE">
        <w:rPr>
          <w:rFonts w:ascii="Times New Roman" w:eastAsia="Times New Roman" w:hAnsi="Times New Roman" w:cs="Times New Roman"/>
          <w:sz w:val="24"/>
          <w:szCs w:val="24"/>
        </w:rPr>
        <w:t xml:space="preserve">. </w:t>
      </w:r>
      <w:r w:rsidRPr="0005093B">
        <w:rPr>
          <w:rFonts w:ascii="Times New Roman" w:eastAsia="Times New Roman" w:hAnsi="Times New Roman" w:cs="Times New Roman"/>
          <w:sz w:val="24"/>
          <w:szCs w:val="24"/>
          <w:lang w:val="en-US"/>
        </w:rPr>
        <w:t>Editorial Planeta.</w:t>
      </w:r>
    </w:p>
    <w:p w14:paraId="2D24C9B4" w14:textId="77777777" w:rsidR="0044203F" w:rsidRPr="00DC104E" w:rsidRDefault="0044203F">
      <w:pPr>
        <w:spacing w:after="0" w:line="240" w:lineRule="auto"/>
        <w:ind w:firstLine="709"/>
        <w:jc w:val="both"/>
        <w:rPr>
          <w:rFonts w:ascii="Times New Roman" w:eastAsia="Times New Roman" w:hAnsi="Times New Roman" w:cs="Times New Roman"/>
          <w:sz w:val="24"/>
          <w:szCs w:val="24"/>
          <w:lang w:val="en-US"/>
        </w:rPr>
      </w:pPr>
    </w:p>
    <w:p w14:paraId="2D24C9B5" w14:textId="7CE03456" w:rsidR="0044203F" w:rsidRPr="00987B59" w:rsidRDefault="00586DF7">
      <w:pPr>
        <w:spacing w:after="0" w:line="240" w:lineRule="auto"/>
        <w:ind w:firstLine="709"/>
        <w:jc w:val="both"/>
        <w:rPr>
          <w:rFonts w:ascii="Times New Roman" w:eastAsia="Times New Roman" w:hAnsi="Times New Roman" w:cs="Times New Roman"/>
          <w:sz w:val="24"/>
          <w:szCs w:val="24"/>
          <w:lang w:val="en-US"/>
        </w:rPr>
      </w:pPr>
      <w:r w:rsidRPr="00987B59">
        <w:rPr>
          <w:rFonts w:ascii="Times New Roman" w:eastAsia="Times New Roman" w:hAnsi="Times New Roman" w:cs="Times New Roman"/>
          <w:sz w:val="24"/>
          <w:szCs w:val="24"/>
          <w:lang w:val="en-US"/>
        </w:rPr>
        <w:t xml:space="preserve">Rose, G. (1998). Neoclassical realism and theories of foreign policy. </w:t>
      </w:r>
      <w:r w:rsidRPr="008739A9">
        <w:rPr>
          <w:rFonts w:ascii="Times New Roman" w:eastAsia="Times New Roman" w:hAnsi="Times New Roman" w:cs="Times New Roman"/>
          <w:i/>
          <w:iCs/>
          <w:sz w:val="24"/>
          <w:szCs w:val="24"/>
          <w:lang w:val="en-US"/>
        </w:rPr>
        <w:t>World Politics, 51</w:t>
      </w:r>
      <w:r w:rsidRPr="00987B59">
        <w:rPr>
          <w:rFonts w:ascii="Times New Roman" w:eastAsia="Times New Roman" w:hAnsi="Times New Roman" w:cs="Times New Roman"/>
          <w:sz w:val="24"/>
          <w:szCs w:val="24"/>
          <w:lang w:val="en-US"/>
        </w:rPr>
        <w:t xml:space="preserve">(1), 144–172. </w:t>
      </w:r>
      <w:hyperlink r:id="rId25" w:history="1">
        <w:r w:rsidR="0034717F" w:rsidRPr="000244F5">
          <w:rPr>
            <w:rStyle w:val="Hipervnculo"/>
            <w:lang w:val="en-US"/>
          </w:rPr>
          <w:t>https://doi.org/10.1017/S0043887100007814</w:t>
        </w:r>
      </w:hyperlink>
      <w:r w:rsidR="0034717F" w:rsidRPr="00987B59">
        <w:rPr>
          <w:rFonts w:ascii="Times New Roman" w:eastAsia="Times New Roman" w:hAnsi="Times New Roman" w:cs="Times New Roman"/>
          <w:sz w:val="24"/>
          <w:szCs w:val="24"/>
          <w:lang w:val="en-US"/>
        </w:rPr>
        <w:t xml:space="preserve"> </w:t>
      </w:r>
    </w:p>
    <w:p w14:paraId="2D24C9B6" w14:textId="77777777" w:rsidR="0044203F" w:rsidRPr="00987B59" w:rsidRDefault="0044203F">
      <w:pPr>
        <w:spacing w:after="0" w:line="240" w:lineRule="auto"/>
        <w:ind w:firstLine="709"/>
        <w:jc w:val="both"/>
        <w:rPr>
          <w:rFonts w:ascii="Times New Roman" w:eastAsia="Times New Roman" w:hAnsi="Times New Roman" w:cs="Times New Roman"/>
          <w:sz w:val="24"/>
          <w:szCs w:val="24"/>
          <w:lang w:val="en-US"/>
        </w:rPr>
      </w:pPr>
    </w:p>
    <w:p w14:paraId="2D24C9B8" w14:textId="25CA9F0F" w:rsidR="0044203F" w:rsidRPr="00ED2EFB" w:rsidRDefault="00586DF7" w:rsidP="0034717F">
      <w:pPr>
        <w:spacing w:after="0" w:line="240" w:lineRule="auto"/>
        <w:ind w:firstLine="709"/>
        <w:jc w:val="both"/>
        <w:rPr>
          <w:rFonts w:ascii="Times New Roman" w:eastAsia="Times New Roman" w:hAnsi="Times New Roman" w:cs="Times New Roman"/>
          <w:sz w:val="24"/>
          <w:szCs w:val="24"/>
        </w:rPr>
      </w:pPr>
      <w:proofErr w:type="spellStart"/>
      <w:r w:rsidRPr="00987B59">
        <w:rPr>
          <w:rFonts w:ascii="Times New Roman" w:eastAsia="Times New Roman" w:hAnsi="Times New Roman" w:cs="Times New Roman"/>
          <w:sz w:val="24"/>
          <w:szCs w:val="24"/>
          <w:lang w:val="en-US"/>
        </w:rPr>
        <w:t>Sampó</w:t>
      </w:r>
      <w:proofErr w:type="spellEnd"/>
      <w:r w:rsidRPr="00987B59">
        <w:rPr>
          <w:rFonts w:ascii="Times New Roman" w:eastAsia="Times New Roman" w:hAnsi="Times New Roman" w:cs="Times New Roman"/>
          <w:sz w:val="24"/>
          <w:szCs w:val="24"/>
          <w:lang w:val="en-US"/>
        </w:rPr>
        <w:t xml:space="preserve">, C., &amp; Troncoso, V. (2024). </w:t>
      </w:r>
      <w:r w:rsidRPr="00ED2EFB">
        <w:rPr>
          <w:rFonts w:ascii="Times New Roman" w:eastAsia="Times New Roman" w:hAnsi="Times New Roman" w:cs="Times New Roman"/>
          <w:sz w:val="24"/>
          <w:szCs w:val="24"/>
        </w:rPr>
        <w:t xml:space="preserve">El Tren de Aragua: La transnacionalización del crimen organizado a través del tráfico de migrantes. </w:t>
      </w:r>
      <w:r w:rsidRPr="00815D52">
        <w:rPr>
          <w:rFonts w:ascii="Times New Roman" w:eastAsia="Times New Roman" w:hAnsi="Times New Roman" w:cs="Times New Roman"/>
          <w:i/>
          <w:iCs/>
          <w:sz w:val="24"/>
          <w:szCs w:val="24"/>
        </w:rPr>
        <w:t>Análisis Político</w:t>
      </w:r>
      <w:r w:rsidRPr="00ED2EFB">
        <w:rPr>
          <w:rFonts w:ascii="Times New Roman" w:eastAsia="Times New Roman" w:hAnsi="Times New Roman" w:cs="Times New Roman"/>
          <w:sz w:val="24"/>
          <w:szCs w:val="24"/>
        </w:rPr>
        <w:t xml:space="preserve">, (110), 147–176. </w:t>
      </w:r>
      <w:hyperlink r:id="rId26" w:history="1">
        <w:r w:rsidR="0034717F" w:rsidRPr="00ED2EFB">
          <w:rPr>
            <w:rStyle w:val="Hipervnculo"/>
            <w:rFonts w:ascii="Times New Roman" w:eastAsia="Times New Roman" w:hAnsi="Times New Roman" w:cs="Times New Roman"/>
            <w:sz w:val="24"/>
            <w:szCs w:val="24"/>
          </w:rPr>
          <w:t>https://ri.conicet.gov.ar/handle/11336/246986</w:t>
        </w:r>
      </w:hyperlink>
      <w:r w:rsidR="0034717F" w:rsidRPr="00ED2EFB">
        <w:rPr>
          <w:rFonts w:ascii="Times New Roman" w:eastAsia="Times New Roman" w:hAnsi="Times New Roman" w:cs="Times New Roman"/>
          <w:sz w:val="24"/>
          <w:szCs w:val="24"/>
        </w:rPr>
        <w:t xml:space="preserve"> </w:t>
      </w:r>
    </w:p>
    <w:p w14:paraId="668A3BE1" w14:textId="77777777" w:rsidR="0043312B" w:rsidRPr="00ED2EFB" w:rsidRDefault="0043312B">
      <w:pPr>
        <w:spacing w:after="0" w:line="240" w:lineRule="auto"/>
        <w:ind w:firstLine="709"/>
        <w:jc w:val="both"/>
        <w:rPr>
          <w:rFonts w:ascii="Times New Roman" w:eastAsia="Times New Roman" w:hAnsi="Times New Roman" w:cs="Times New Roman"/>
          <w:sz w:val="24"/>
          <w:szCs w:val="24"/>
        </w:rPr>
      </w:pPr>
    </w:p>
    <w:p w14:paraId="101EBBAA" w14:textId="08E6AFB1" w:rsidR="0043312B" w:rsidRPr="00ED2EFB" w:rsidRDefault="0043312B">
      <w:pPr>
        <w:spacing w:after="0" w:line="240" w:lineRule="auto"/>
        <w:ind w:firstLine="709"/>
        <w:jc w:val="both"/>
        <w:rPr>
          <w:rFonts w:ascii="Times New Roman" w:eastAsia="Times New Roman" w:hAnsi="Times New Roman" w:cs="Times New Roman"/>
          <w:sz w:val="24"/>
          <w:szCs w:val="24"/>
        </w:rPr>
      </w:pPr>
      <w:r w:rsidRPr="000244F5">
        <w:rPr>
          <w:rFonts w:ascii="Times New Roman" w:hAnsi="Times New Roman" w:cs="Times New Roman"/>
          <w:sz w:val="24"/>
          <w:szCs w:val="24"/>
        </w:rPr>
        <w:t xml:space="preserve">Valencia Ríos, B. F. (2025, 23 de enero). </w:t>
      </w:r>
      <w:r w:rsidRPr="000244F5">
        <w:rPr>
          <w:rFonts w:ascii="Times New Roman" w:hAnsi="Times New Roman" w:cs="Times New Roman"/>
          <w:i/>
          <w:iCs/>
          <w:sz w:val="24"/>
          <w:szCs w:val="24"/>
        </w:rPr>
        <w:t>Tren de Aragua le pidió a Petro sumarse a la ‘paz total’</w:t>
      </w:r>
      <w:r w:rsidRPr="000244F5">
        <w:rPr>
          <w:rFonts w:ascii="Times New Roman" w:hAnsi="Times New Roman" w:cs="Times New Roman"/>
          <w:sz w:val="24"/>
          <w:szCs w:val="24"/>
        </w:rPr>
        <w:t xml:space="preserve">. El </w:t>
      </w:r>
      <w:proofErr w:type="gramStart"/>
      <w:r w:rsidRPr="000244F5">
        <w:rPr>
          <w:rFonts w:ascii="Times New Roman" w:hAnsi="Times New Roman" w:cs="Times New Roman"/>
          <w:sz w:val="24"/>
          <w:szCs w:val="24"/>
        </w:rPr>
        <w:t>Colombiano</w:t>
      </w:r>
      <w:proofErr w:type="gramEnd"/>
      <w:r w:rsidRPr="000244F5">
        <w:rPr>
          <w:rFonts w:ascii="Times New Roman" w:hAnsi="Times New Roman" w:cs="Times New Roman"/>
          <w:sz w:val="24"/>
          <w:szCs w:val="24"/>
        </w:rPr>
        <w:t xml:space="preserve">. </w:t>
      </w:r>
      <w:hyperlink r:id="rId27" w:tgtFrame="_blank" w:history="1">
        <w:r w:rsidRPr="000244F5">
          <w:rPr>
            <w:rStyle w:val="Hipervnculo"/>
            <w:rFonts w:ascii="Times New Roman" w:hAnsi="Times New Roman" w:cs="Times New Roman"/>
            <w:sz w:val="24"/>
            <w:szCs w:val="24"/>
          </w:rPr>
          <w:t>https://www.elcolombiano.com/colombia/carta-alias-larry-changa-tren-de-aragua-solicita-ser-gestor-de-paz-a-gustavo-petro-FA29924735</w:t>
        </w:r>
      </w:hyperlink>
      <w:r w:rsidR="0034717F" w:rsidRPr="00ED2EFB">
        <w:rPr>
          <w:rFonts w:ascii="Times New Roman" w:hAnsi="Times New Roman" w:cs="Times New Roman"/>
          <w:sz w:val="24"/>
          <w:szCs w:val="24"/>
        </w:rPr>
        <w:t xml:space="preserve"> </w:t>
      </w:r>
    </w:p>
    <w:p w14:paraId="2D24C9BA" w14:textId="77777777" w:rsidR="0044203F" w:rsidRPr="00ED2EFB" w:rsidRDefault="0044203F">
      <w:pPr>
        <w:spacing w:after="0" w:line="240" w:lineRule="auto"/>
        <w:ind w:firstLine="709"/>
        <w:jc w:val="both"/>
        <w:rPr>
          <w:rFonts w:ascii="Times New Roman" w:eastAsia="Times New Roman" w:hAnsi="Times New Roman" w:cs="Times New Roman"/>
          <w:sz w:val="24"/>
          <w:szCs w:val="24"/>
        </w:rPr>
      </w:pPr>
    </w:p>
    <w:p w14:paraId="15626414" w14:textId="5DD94434" w:rsidR="001B65FE" w:rsidRPr="0005093B" w:rsidRDefault="0043312B" w:rsidP="003E04B4">
      <w:pPr>
        <w:spacing w:after="0" w:line="240" w:lineRule="auto"/>
        <w:ind w:firstLine="709"/>
        <w:jc w:val="both"/>
        <w:rPr>
          <w:rFonts w:ascii="Times New Roman" w:eastAsia="Times New Roman" w:hAnsi="Times New Roman" w:cs="Times New Roman"/>
          <w:sz w:val="24"/>
          <w:szCs w:val="24"/>
          <w:lang w:val="es-CO"/>
        </w:rPr>
      </w:pPr>
      <w:r w:rsidRPr="00987B59">
        <w:rPr>
          <w:rFonts w:ascii="Times New Roman" w:eastAsia="Times New Roman" w:hAnsi="Times New Roman" w:cs="Times New Roman"/>
          <w:sz w:val="24"/>
          <w:szCs w:val="24"/>
          <w:lang w:val="en-US"/>
        </w:rPr>
        <w:t>V</w:t>
      </w:r>
      <w:r w:rsidR="00586DF7" w:rsidRPr="00987B59">
        <w:rPr>
          <w:rFonts w:ascii="Times New Roman" w:eastAsia="Times New Roman" w:hAnsi="Times New Roman" w:cs="Times New Roman"/>
          <w:sz w:val="24"/>
          <w:szCs w:val="24"/>
          <w:lang w:val="en-US"/>
        </w:rPr>
        <w:t xml:space="preserve">an Dijk, T.A. (2008). </w:t>
      </w:r>
      <w:r w:rsidR="00586DF7" w:rsidRPr="00815D52">
        <w:rPr>
          <w:rFonts w:ascii="Times New Roman" w:eastAsia="Times New Roman" w:hAnsi="Times New Roman" w:cs="Times New Roman"/>
          <w:i/>
          <w:iCs/>
          <w:sz w:val="24"/>
          <w:szCs w:val="24"/>
          <w:lang w:val="en-US"/>
        </w:rPr>
        <w:t xml:space="preserve">Discourse and context: </w:t>
      </w:r>
      <w:r w:rsidR="00815D52" w:rsidRPr="00815D52">
        <w:rPr>
          <w:rFonts w:ascii="Times New Roman" w:eastAsia="Times New Roman" w:hAnsi="Times New Roman" w:cs="Times New Roman"/>
          <w:i/>
          <w:iCs/>
          <w:sz w:val="24"/>
          <w:szCs w:val="24"/>
          <w:lang w:val="en-US"/>
        </w:rPr>
        <w:t>a</w:t>
      </w:r>
      <w:r w:rsidR="00586DF7" w:rsidRPr="00815D52">
        <w:rPr>
          <w:rFonts w:ascii="Times New Roman" w:eastAsia="Times New Roman" w:hAnsi="Times New Roman" w:cs="Times New Roman"/>
          <w:i/>
          <w:iCs/>
          <w:sz w:val="24"/>
          <w:szCs w:val="24"/>
          <w:lang w:val="en-US"/>
        </w:rPr>
        <w:t xml:space="preserve"> </w:t>
      </w:r>
      <w:proofErr w:type="spellStart"/>
      <w:r w:rsidR="00586DF7" w:rsidRPr="00815D52">
        <w:rPr>
          <w:rFonts w:ascii="Times New Roman" w:eastAsia="Times New Roman" w:hAnsi="Times New Roman" w:cs="Times New Roman"/>
          <w:i/>
          <w:iCs/>
          <w:sz w:val="24"/>
          <w:szCs w:val="24"/>
          <w:lang w:val="en-US"/>
        </w:rPr>
        <w:t>sociocognitive</w:t>
      </w:r>
      <w:proofErr w:type="spellEnd"/>
      <w:r w:rsidR="00586DF7" w:rsidRPr="00815D52">
        <w:rPr>
          <w:rFonts w:ascii="Times New Roman" w:eastAsia="Times New Roman" w:hAnsi="Times New Roman" w:cs="Times New Roman"/>
          <w:i/>
          <w:iCs/>
          <w:sz w:val="24"/>
          <w:szCs w:val="24"/>
          <w:lang w:val="en-US"/>
        </w:rPr>
        <w:t xml:space="preserve"> approach</w:t>
      </w:r>
      <w:r w:rsidR="00586DF7" w:rsidRPr="00987B59">
        <w:rPr>
          <w:rFonts w:ascii="Times New Roman" w:eastAsia="Times New Roman" w:hAnsi="Times New Roman" w:cs="Times New Roman"/>
          <w:sz w:val="24"/>
          <w:szCs w:val="24"/>
          <w:lang w:val="en-US"/>
        </w:rPr>
        <w:t xml:space="preserve">. </w:t>
      </w:r>
      <w:r w:rsidR="00586DF7" w:rsidRPr="0005093B">
        <w:rPr>
          <w:rFonts w:ascii="Times New Roman" w:eastAsia="Times New Roman" w:hAnsi="Times New Roman" w:cs="Times New Roman"/>
          <w:sz w:val="24"/>
          <w:szCs w:val="24"/>
          <w:lang w:val="es-CO"/>
        </w:rPr>
        <w:t>Cambridge University Press.</w:t>
      </w:r>
    </w:p>
    <w:p w14:paraId="161936AE" w14:textId="77777777" w:rsidR="003E04B4" w:rsidRPr="0005093B" w:rsidRDefault="003E04B4" w:rsidP="003E04B4">
      <w:pPr>
        <w:spacing w:after="0" w:line="240" w:lineRule="auto"/>
        <w:ind w:firstLine="709"/>
        <w:jc w:val="both"/>
        <w:rPr>
          <w:rFonts w:ascii="Times New Roman" w:eastAsia="Times New Roman" w:hAnsi="Times New Roman" w:cs="Times New Roman"/>
          <w:sz w:val="24"/>
          <w:szCs w:val="24"/>
          <w:lang w:val="es-CO"/>
        </w:rPr>
      </w:pPr>
    </w:p>
    <w:p w14:paraId="7B4A5A19" w14:textId="731A58BA" w:rsidR="003E04B4" w:rsidRPr="008D49B4" w:rsidRDefault="003E04B4" w:rsidP="003E04B4">
      <w:pPr>
        <w:spacing w:after="0" w:line="240" w:lineRule="auto"/>
        <w:ind w:firstLine="709"/>
        <w:jc w:val="both"/>
        <w:rPr>
          <w:rFonts w:ascii="Times New Roman" w:eastAsia="Times New Roman" w:hAnsi="Times New Roman" w:cs="Times New Roman"/>
          <w:sz w:val="24"/>
          <w:szCs w:val="24"/>
        </w:rPr>
      </w:pPr>
      <w:r w:rsidRPr="003E04B4">
        <w:rPr>
          <w:rFonts w:ascii="Times New Roman" w:eastAsia="Times New Roman" w:hAnsi="Times New Roman" w:cs="Times New Roman"/>
          <w:sz w:val="24"/>
          <w:szCs w:val="24"/>
        </w:rPr>
        <w:t xml:space="preserve">Van Dijk, T.A. (2013). </w:t>
      </w:r>
      <w:r w:rsidRPr="003E04B4">
        <w:rPr>
          <w:rFonts w:ascii="Times New Roman" w:eastAsia="Times New Roman" w:hAnsi="Times New Roman" w:cs="Times New Roman"/>
          <w:i/>
          <w:iCs/>
          <w:sz w:val="24"/>
          <w:szCs w:val="24"/>
        </w:rPr>
        <w:t>Discurso y poder</w:t>
      </w:r>
      <w:r w:rsidRPr="003E04B4">
        <w:rPr>
          <w:rFonts w:ascii="Times New Roman" w:eastAsia="Times New Roman" w:hAnsi="Times New Roman" w:cs="Times New Roman"/>
          <w:sz w:val="24"/>
          <w:szCs w:val="24"/>
        </w:rPr>
        <w:t xml:space="preserve"> (A. Bixio, Trad.). </w:t>
      </w:r>
      <w:r w:rsidRPr="008D49B4">
        <w:rPr>
          <w:rFonts w:ascii="Times New Roman" w:eastAsia="Times New Roman" w:hAnsi="Times New Roman" w:cs="Times New Roman"/>
          <w:sz w:val="24"/>
          <w:szCs w:val="24"/>
        </w:rPr>
        <w:t xml:space="preserve">Gedisa. </w:t>
      </w:r>
    </w:p>
    <w:p w14:paraId="2D24C9BC" w14:textId="77777777" w:rsidR="0044203F" w:rsidRPr="008D49B4" w:rsidRDefault="0044203F">
      <w:pPr>
        <w:spacing w:after="0" w:line="240" w:lineRule="auto"/>
        <w:ind w:firstLine="709"/>
        <w:jc w:val="both"/>
        <w:rPr>
          <w:rFonts w:ascii="Times New Roman" w:eastAsia="Times New Roman" w:hAnsi="Times New Roman" w:cs="Times New Roman"/>
          <w:sz w:val="24"/>
          <w:szCs w:val="24"/>
        </w:rPr>
      </w:pPr>
    </w:p>
    <w:p w14:paraId="2D24C9BD" w14:textId="155350E3" w:rsidR="0044203F" w:rsidRPr="00987B59" w:rsidRDefault="00586DF7">
      <w:pPr>
        <w:spacing w:after="0" w:line="240" w:lineRule="auto"/>
        <w:ind w:firstLine="709"/>
        <w:jc w:val="both"/>
        <w:rPr>
          <w:rFonts w:ascii="Times New Roman" w:eastAsia="Times New Roman" w:hAnsi="Times New Roman" w:cs="Times New Roman"/>
          <w:sz w:val="24"/>
          <w:szCs w:val="24"/>
          <w:lang w:val="en-US"/>
        </w:rPr>
      </w:pPr>
      <w:r w:rsidRPr="008D49B4">
        <w:rPr>
          <w:rFonts w:ascii="Times New Roman" w:eastAsia="Times New Roman" w:hAnsi="Times New Roman" w:cs="Times New Roman"/>
          <w:sz w:val="24"/>
          <w:szCs w:val="24"/>
        </w:rPr>
        <w:t xml:space="preserve">Zhang, Y., Jin, R., &amp; Zhou, Z. H. (2017). </w:t>
      </w:r>
      <w:r w:rsidRPr="00987B59">
        <w:rPr>
          <w:rFonts w:ascii="Times New Roman" w:eastAsia="Times New Roman" w:hAnsi="Times New Roman" w:cs="Times New Roman"/>
          <w:sz w:val="24"/>
          <w:szCs w:val="24"/>
          <w:lang w:val="en-US"/>
        </w:rPr>
        <w:t xml:space="preserve">Understanding and interpreting text data in the context of big data: Methodologies, challenges, and opportunities. </w:t>
      </w:r>
      <w:r w:rsidRPr="00C1779B">
        <w:rPr>
          <w:rFonts w:ascii="Times New Roman" w:eastAsia="Times New Roman" w:hAnsi="Times New Roman" w:cs="Times New Roman"/>
          <w:i/>
          <w:iCs/>
          <w:sz w:val="24"/>
          <w:szCs w:val="24"/>
          <w:lang w:val="en-US"/>
        </w:rPr>
        <w:t>ACM Transactions on Knowledge Discovery from Data, 11(</w:t>
      </w:r>
      <w:r w:rsidRPr="00987B59">
        <w:rPr>
          <w:rFonts w:ascii="Times New Roman" w:eastAsia="Times New Roman" w:hAnsi="Times New Roman" w:cs="Times New Roman"/>
          <w:sz w:val="24"/>
          <w:szCs w:val="24"/>
          <w:lang w:val="en-US"/>
        </w:rPr>
        <w:t xml:space="preserve">2), Artículo 16. </w:t>
      </w:r>
      <w:hyperlink r:id="rId28" w:history="1">
        <w:r w:rsidR="0034717F" w:rsidRPr="000244F5">
          <w:rPr>
            <w:rStyle w:val="Hipervnculo"/>
            <w:lang w:val="en-US"/>
          </w:rPr>
          <w:t>https://doi.org/10.1145/3015463</w:t>
        </w:r>
      </w:hyperlink>
      <w:r w:rsidR="0034717F" w:rsidRPr="00987B59">
        <w:rPr>
          <w:rFonts w:ascii="Times New Roman" w:eastAsia="Times New Roman" w:hAnsi="Times New Roman" w:cs="Times New Roman"/>
          <w:sz w:val="24"/>
          <w:szCs w:val="24"/>
          <w:lang w:val="en-US"/>
        </w:rPr>
        <w:t xml:space="preserve"> </w:t>
      </w:r>
    </w:p>
    <w:p w14:paraId="2D24C9BE" w14:textId="59BDC1A8" w:rsidR="0044203F" w:rsidRPr="00987B59" w:rsidRDefault="0034717F">
      <w:pPr>
        <w:spacing w:after="0" w:line="240" w:lineRule="auto"/>
        <w:ind w:firstLine="709"/>
        <w:jc w:val="both"/>
        <w:rPr>
          <w:rFonts w:ascii="Times New Roman" w:eastAsia="Times New Roman" w:hAnsi="Times New Roman" w:cs="Times New Roman"/>
          <w:sz w:val="24"/>
          <w:szCs w:val="24"/>
          <w:lang w:val="en-US"/>
        </w:rPr>
      </w:pPr>
      <w:r w:rsidRPr="00987B59">
        <w:rPr>
          <w:rFonts w:ascii="Times New Roman" w:eastAsia="Times New Roman" w:hAnsi="Times New Roman" w:cs="Times New Roman"/>
          <w:sz w:val="24"/>
          <w:szCs w:val="24"/>
          <w:lang w:val="en-US"/>
        </w:rPr>
        <w:t xml:space="preserve"> </w:t>
      </w:r>
    </w:p>
    <w:p w14:paraId="2D24C9BF" w14:textId="77777777" w:rsidR="0044203F" w:rsidRPr="00987B59" w:rsidRDefault="00586DF7">
      <w:pPr>
        <w:spacing w:after="0" w:line="240" w:lineRule="auto"/>
        <w:rPr>
          <w:rFonts w:ascii="Times New Roman" w:eastAsia="Times New Roman" w:hAnsi="Times New Roman" w:cs="Times New Roman"/>
          <w:b/>
          <w:bCs/>
          <w:sz w:val="24"/>
          <w:szCs w:val="24"/>
          <w:lang w:val="en-US"/>
        </w:rPr>
      </w:pPr>
      <w:r w:rsidRPr="000244F5">
        <w:rPr>
          <w:rFonts w:ascii="Times New Roman" w:eastAsia="Times New Roman" w:hAnsi="Times New Roman" w:cs="Times New Roman"/>
          <w:sz w:val="24"/>
          <w:szCs w:val="24"/>
          <w:lang w:val="en-US"/>
        </w:rPr>
        <w:t xml:space="preserve">      </w:t>
      </w:r>
    </w:p>
    <w:sectPr w:rsidR="0044203F" w:rsidRPr="00987B59">
      <w:headerReference w:type="default" r:id="rId29"/>
      <w:footerReference w:type="default" r:id="rId30"/>
      <w:headerReference w:type="first" r:id="rId31"/>
      <w:pgSz w:w="12240" w:h="15840"/>
      <w:pgMar w:top="1247" w:right="1134" w:bottom="1134" w:left="1701"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FE05B" w14:textId="77777777" w:rsidR="00124523" w:rsidRDefault="00124523">
      <w:pPr>
        <w:spacing w:after="0" w:line="240" w:lineRule="auto"/>
      </w:pPr>
      <w:r>
        <w:separator/>
      </w:r>
    </w:p>
  </w:endnote>
  <w:endnote w:type="continuationSeparator" w:id="0">
    <w:p w14:paraId="5C11A530" w14:textId="77777777" w:rsidR="00124523" w:rsidRDefault="0012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embedRegular r:id="rId1" w:fontKey="{AB844F64-40C7-4BF4-8562-8330DA8B4157}"/>
  </w:font>
  <w:font w:name="Calibri">
    <w:panose1 w:val="020F0502020204030204"/>
    <w:charset w:val="00"/>
    <w:family w:val="swiss"/>
    <w:pitch w:val="variable"/>
    <w:sig w:usb0="E4002EFF" w:usb1="C200247B" w:usb2="00000009" w:usb3="00000000" w:csb0="000001FF" w:csb1="00000000"/>
    <w:embedRegular r:id="rId2" w:fontKey="{8E720E08-C8CF-4A18-B3F3-F709BD59ACC3}"/>
    <w:embedBold r:id="rId3" w:fontKey="{1E05D1D5-D6E4-495C-A23E-7F6CB72AAE90}"/>
    <w:embedItalic r:id="rId4" w:fontKey="{CF3A50E5-C3E8-43B4-8F11-5962DFABA4CF}"/>
  </w:font>
  <w:font w:name="Cambria">
    <w:panose1 w:val="02040503050406030204"/>
    <w:charset w:val="00"/>
    <w:family w:val="roman"/>
    <w:pitch w:val="variable"/>
    <w:sig w:usb0="E00006FF" w:usb1="420024FF" w:usb2="02000000" w:usb3="00000000" w:csb0="0000019F" w:csb1="00000000"/>
    <w:embedRegular r:id="rId5" w:fontKey="{F43F2C09-615F-4D4B-895F-0B92B13A1A4B}"/>
    <w:embedBold r:id="rId6" w:fontKey="{2658301E-CC34-4E26-928C-8DCD2BC6D58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6F00C2E-F25B-4603-849C-A457AA37BCBA}"/>
    <w:embedBold r:id="rId8" w:fontKey="{DEC60844-C352-4DAC-8AE4-9B6103B7A6B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9" w:fontKey="{47E70CAA-C59F-466F-84EE-6B27AFC5BDC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0" w:fontKey="{8169BA25-1240-413F-BD98-7C83FB4BF93A}"/>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C9C5" w14:textId="77777777" w:rsidR="0044203F" w:rsidRDefault="00586DF7">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Revista justicia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189A8" w14:textId="77777777" w:rsidR="00124523" w:rsidRDefault="00124523">
      <w:pPr>
        <w:spacing w:after="0" w:line="240" w:lineRule="auto"/>
      </w:pPr>
      <w:r>
        <w:separator/>
      </w:r>
    </w:p>
  </w:footnote>
  <w:footnote w:type="continuationSeparator" w:id="0">
    <w:p w14:paraId="349D04FF" w14:textId="77777777" w:rsidR="00124523" w:rsidRDefault="00124523">
      <w:pPr>
        <w:spacing w:after="0" w:line="240" w:lineRule="auto"/>
      </w:pPr>
      <w:r>
        <w:continuationSeparator/>
      </w:r>
    </w:p>
  </w:footnote>
  <w:footnote w:id="1">
    <w:p w14:paraId="71E89518" w14:textId="71EE1661" w:rsidR="00E301E4" w:rsidRPr="00D91767" w:rsidRDefault="00E301E4">
      <w:pPr>
        <w:pBdr>
          <w:top w:val="nil"/>
          <w:left w:val="nil"/>
          <w:bottom w:val="nil"/>
          <w:right w:val="nil"/>
          <w:between w:val="nil"/>
        </w:pBdr>
        <w:spacing w:after="0" w:line="240" w:lineRule="auto"/>
        <w:rPr>
          <w:rFonts w:ascii="Times New Roman" w:eastAsia="Times New Roman" w:hAnsi="Times New Roman" w:cs="Times New Roman"/>
          <w:color w:val="000000"/>
          <w:vertAlign w:val="subscript"/>
        </w:rPr>
      </w:pPr>
      <w:r w:rsidRPr="00E301E4">
        <w:rPr>
          <w:rStyle w:val="Refdenotaalpie"/>
          <w:rFonts w:eastAsia="Times New Roman" w:cs="Times New Roman"/>
          <w:sz w:val="20"/>
          <w:szCs w:val="20"/>
          <w:lang w:val="en-US" w:bidi="en-US"/>
        </w:rPr>
        <w:sym w:font="Symbol" w:char="F02A"/>
      </w:r>
      <w:r>
        <w:rPr>
          <w:rFonts w:ascii="Times New Roman" w:eastAsia="Times New Roman" w:hAnsi="Times New Roman" w:cs="Times New Roman"/>
          <w:color w:val="000000"/>
          <w:sz w:val="24"/>
          <w:szCs w:val="24"/>
          <w:vertAlign w:val="subscript"/>
        </w:rPr>
        <w:t xml:space="preserve"> </w:t>
      </w:r>
      <w:r w:rsidRPr="00D91767">
        <w:rPr>
          <w:rFonts w:ascii="Times New Roman" w:eastAsia="Times New Roman" w:hAnsi="Times New Roman" w:cs="Times New Roman"/>
          <w:color w:val="000000"/>
          <w:vertAlign w:val="subscript"/>
        </w:rPr>
        <w:t xml:space="preserve">lerazo@unisalle.edu.co </w:t>
      </w:r>
      <w:hyperlink r:id="rId1" w:history="1">
        <w:r w:rsidRPr="00D91767">
          <w:rPr>
            <w:rStyle w:val="Hipervnculo"/>
            <w:rFonts w:ascii="Times New Roman" w:eastAsia="Times New Roman" w:hAnsi="Times New Roman" w:cs="Times New Roman"/>
            <w:vertAlign w:val="subscript"/>
          </w:rPr>
          <w:t>https://orcid.org/0000-0002-2526-9044</w:t>
        </w:r>
      </w:hyperlink>
      <w:r w:rsidRPr="00D91767">
        <w:rPr>
          <w:rFonts w:ascii="Times New Roman" w:eastAsia="Times New Roman" w:hAnsi="Times New Roman" w:cs="Times New Roman"/>
          <w:color w:val="000000"/>
          <w:vertAlign w:val="subscript"/>
        </w:rPr>
        <w:t xml:space="preserve"> </w:t>
      </w:r>
    </w:p>
  </w:footnote>
  <w:footnote w:id="2">
    <w:p w14:paraId="5800B9BA" w14:textId="39DBDAB6" w:rsidR="00E301E4" w:rsidRPr="00D91767" w:rsidRDefault="00E301E4">
      <w:pPr>
        <w:pBdr>
          <w:top w:val="nil"/>
          <w:left w:val="nil"/>
          <w:bottom w:val="nil"/>
          <w:right w:val="nil"/>
          <w:between w:val="nil"/>
        </w:pBdr>
        <w:spacing w:after="0" w:line="240" w:lineRule="auto"/>
        <w:rPr>
          <w:rFonts w:ascii="Times New Roman" w:eastAsia="Times New Roman" w:hAnsi="Times New Roman" w:cs="Times New Roman"/>
          <w:color w:val="000000"/>
          <w:vertAlign w:val="subscript"/>
        </w:rPr>
      </w:pPr>
      <w:r w:rsidRPr="00E301E4">
        <w:rPr>
          <w:rStyle w:val="Refdenotaalpie"/>
          <w:rFonts w:eastAsia="Times New Roman" w:cs="Times New Roman"/>
          <w:sz w:val="20"/>
          <w:szCs w:val="20"/>
          <w:lang w:val="en-US" w:bidi="en-US"/>
        </w:rPr>
        <w:sym w:font="Symbol" w:char="F02A"/>
      </w:r>
      <w:r w:rsidRPr="00D91767">
        <w:rPr>
          <w:rFonts w:ascii="Times New Roman" w:eastAsia="Times New Roman" w:hAnsi="Times New Roman" w:cs="Times New Roman"/>
          <w:color w:val="000000"/>
          <w:vertAlign w:val="subscript"/>
        </w:rPr>
        <w:t xml:space="preserve"> carlos.laverde@unimilitar.edu.co, </w:t>
      </w:r>
      <w:hyperlink r:id="rId2" w:history="1">
        <w:r w:rsidRPr="00D91767">
          <w:rPr>
            <w:rStyle w:val="Hipervnculo"/>
            <w:rFonts w:ascii="Times New Roman" w:eastAsia="Times New Roman" w:hAnsi="Times New Roman" w:cs="Times New Roman"/>
            <w:vertAlign w:val="subscript"/>
          </w:rPr>
          <w:t>https://orcid.org/0000-0003-0772-0337</w:t>
        </w:r>
      </w:hyperlink>
    </w:p>
  </w:footnote>
  <w:footnote w:id="3">
    <w:p w14:paraId="3395A4F6" w14:textId="1BEB20DE" w:rsidR="00E301E4" w:rsidRPr="00D91767" w:rsidRDefault="00E301E4">
      <w:pPr>
        <w:pStyle w:val="Textonotapie"/>
        <w:rPr>
          <w:rFonts w:ascii="Times New Roman" w:hAnsi="Times New Roman"/>
          <w:sz w:val="22"/>
          <w:szCs w:val="22"/>
          <w:lang w:val="es-CO"/>
        </w:rPr>
      </w:pPr>
      <w:r w:rsidRPr="00E301E4">
        <w:rPr>
          <w:rStyle w:val="Refdenotaalpie"/>
        </w:rPr>
        <w:sym w:font="Symbol" w:char="F02A"/>
      </w:r>
      <w:r w:rsidRPr="00D91767">
        <w:rPr>
          <w:rFonts w:ascii="Times New Roman" w:hAnsi="Times New Roman"/>
          <w:sz w:val="22"/>
          <w:szCs w:val="22"/>
          <w:lang w:val="es-CO"/>
        </w:rPr>
        <w:t xml:space="preserve"> </w:t>
      </w:r>
      <w:r w:rsidRPr="00D91767">
        <w:rPr>
          <w:rFonts w:ascii="Times New Roman" w:hAnsi="Times New Roman"/>
          <w:color w:val="000000"/>
          <w:sz w:val="22"/>
          <w:szCs w:val="22"/>
          <w:vertAlign w:val="subscript"/>
          <w:lang w:val="es-ES_tradnl"/>
        </w:rPr>
        <w:t xml:space="preserve">edevia67@unisalle.edu.co, </w:t>
      </w:r>
      <w:hyperlink r:id="rId3" w:history="1">
        <w:r w:rsidRPr="00D91767">
          <w:rPr>
            <w:rStyle w:val="Hipervnculo"/>
            <w:rFonts w:ascii="Times New Roman" w:hAnsi="Times New Roman"/>
            <w:sz w:val="22"/>
            <w:szCs w:val="22"/>
            <w:vertAlign w:val="subscript"/>
            <w:lang w:val="es-ES_tradnl"/>
          </w:rPr>
          <w:t>https://orcid.org/0000-0002-6015-9078</w:t>
        </w:r>
      </w:hyperlink>
    </w:p>
  </w:footnote>
  <w:footnote w:id="4">
    <w:p w14:paraId="2D24C9D4" w14:textId="77777777" w:rsidR="0044203F" w:rsidRPr="00DA605F" w:rsidRDefault="00586DF7">
      <w:pPr>
        <w:pBdr>
          <w:top w:val="nil"/>
          <w:left w:val="nil"/>
          <w:bottom w:val="nil"/>
          <w:right w:val="nil"/>
          <w:between w:val="nil"/>
        </w:pBdr>
        <w:spacing w:after="0" w:line="240" w:lineRule="auto"/>
        <w:rPr>
          <w:rFonts w:ascii="Times New Roman" w:hAnsi="Times New Roman" w:cs="Times New Roman"/>
          <w:color w:val="000000"/>
        </w:rPr>
      </w:pPr>
      <w:r>
        <w:rPr>
          <w:vertAlign w:val="superscript"/>
        </w:rPr>
        <w:footnoteRef/>
      </w:r>
      <w:r>
        <w:rPr>
          <w:color w:val="000000"/>
          <w:sz w:val="20"/>
          <w:szCs w:val="20"/>
        </w:rPr>
        <w:t xml:space="preserve"> </w:t>
      </w:r>
      <w:r w:rsidRPr="00D91767">
        <w:rPr>
          <w:rFonts w:ascii="Times New Roman" w:hAnsi="Times New Roman" w:cs="Times New Roman"/>
          <w:color w:val="000000"/>
          <w:vertAlign w:val="subscript"/>
        </w:rPr>
        <w:t xml:space="preserve">Base de datos de discursos disponible en: </w:t>
      </w:r>
      <w:hyperlink r:id="rId4">
        <w:r w:rsidRPr="00D91767">
          <w:rPr>
            <w:rFonts w:ascii="Times New Roman" w:hAnsi="Times New Roman" w:cs="Times New Roman"/>
            <w:color w:val="0000FF"/>
            <w:u w:val="single"/>
            <w:vertAlign w:val="subscript"/>
          </w:rPr>
          <w:t>https://dx.doi.org/10.6084/m9.figshare.27073945</w:t>
        </w:r>
      </w:hyperlink>
      <w:r w:rsidRPr="00DA605F">
        <w:rPr>
          <w:rFonts w:ascii="Times New Roman" w:hAnsi="Times New Roman" w:cs="Times New Roman"/>
          <w:color w:val="000000"/>
        </w:rPr>
        <w:t xml:space="preserve"> </w:t>
      </w:r>
    </w:p>
  </w:footnote>
  <w:footnote w:id="5">
    <w:p w14:paraId="0CCF8BB2" w14:textId="62D99CDC" w:rsidR="00E67FC5" w:rsidRPr="00D91767" w:rsidRDefault="00E67FC5" w:rsidP="000244F5">
      <w:pPr>
        <w:pStyle w:val="Textonotapie"/>
        <w:jc w:val="both"/>
        <w:rPr>
          <w:rFonts w:ascii="Times New Roman" w:hAnsi="Times New Roman"/>
          <w:sz w:val="22"/>
          <w:szCs w:val="22"/>
          <w:vertAlign w:val="superscript"/>
          <w:lang w:val="es-CO"/>
        </w:rPr>
      </w:pPr>
      <w:r w:rsidRPr="00E301E4">
        <w:rPr>
          <w:rStyle w:val="Refdenotaalpie"/>
          <w:rFonts w:ascii="Times New Roman" w:hAnsi="Times New Roman"/>
          <w:sz w:val="22"/>
          <w:szCs w:val="22"/>
        </w:rPr>
        <w:footnoteRef/>
      </w:r>
      <w:r w:rsidRPr="00DA605F">
        <w:rPr>
          <w:rFonts w:ascii="Times New Roman" w:hAnsi="Times New Roman"/>
          <w:sz w:val="22"/>
          <w:szCs w:val="22"/>
          <w:lang w:val="es-CO"/>
        </w:rPr>
        <w:t xml:space="preserve"> </w:t>
      </w:r>
      <w:r w:rsidRPr="00D91767">
        <w:rPr>
          <w:rFonts w:ascii="Times New Roman" w:hAnsi="Times New Roman"/>
          <w:sz w:val="22"/>
          <w:szCs w:val="22"/>
          <w:vertAlign w:val="superscript"/>
          <w:lang w:val="es-CO"/>
        </w:rPr>
        <w:t>MAXQDA operó como el gestor principal de la fase constructivista-interpretativa; se llevó a cabo la segmentación de los textos en unidades temáticas y el proceso iterativo de codificación jerárquica (abierta, axial y selectiva). Esta plataforma facilitó la estructuración manual de las categorías emergentes y la trazabilidad de los marcos discursivos.</w:t>
      </w:r>
    </w:p>
  </w:footnote>
  <w:footnote w:id="6">
    <w:p w14:paraId="335607E4" w14:textId="4C49EF0E" w:rsidR="00E67FC5" w:rsidRPr="00D91767" w:rsidRDefault="00E67FC5" w:rsidP="000244F5">
      <w:pPr>
        <w:pStyle w:val="Textonotapie"/>
        <w:jc w:val="both"/>
        <w:rPr>
          <w:rFonts w:ascii="Times New Roman" w:hAnsi="Times New Roman"/>
          <w:sz w:val="22"/>
          <w:szCs w:val="22"/>
          <w:vertAlign w:val="superscript"/>
          <w:lang w:val="es-CO"/>
        </w:rPr>
      </w:pPr>
      <w:r w:rsidRPr="00D91767">
        <w:rPr>
          <w:rStyle w:val="Refdenotaalpie"/>
          <w:rFonts w:ascii="Times New Roman" w:hAnsi="Times New Roman"/>
          <w:sz w:val="22"/>
          <w:szCs w:val="22"/>
        </w:rPr>
        <w:footnoteRef/>
      </w:r>
      <w:r w:rsidRPr="00D91767">
        <w:rPr>
          <w:rFonts w:ascii="Times New Roman" w:hAnsi="Times New Roman"/>
          <w:sz w:val="22"/>
          <w:szCs w:val="22"/>
          <w:vertAlign w:val="superscript"/>
          <w:lang w:val="es-CO"/>
        </w:rPr>
        <w:t xml:space="preserve"> R se utilizó como soporte computacional para el procesamiento cuantitativo y la sistematización del corpus. Aprovechando sus paquetes de minería de texto y análisis estadístico, R facilitó el filtrado inicial automatizado (web </w:t>
      </w:r>
      <w:proofErr w:type="spellStart"/>
      <w:r w:rsidRPr="00D91767">
        <w:rPr>
          <w:rFonts w:ascii="Times New Roman" w:hAnsi="Times New Roman"/>
          <w:sz w:val="22"/>
          <w:szCs w:val="22"/>
          <w:vertAlign w:val="superscript"/>
          <w:lang w:val="es-CO"/>
        </w:rPr>
        <w:t>scraping</w:t>
      </w:r>
      <w:proofErr w:type="spellEnd"/>
      <w:r w:rsidRPr="00D91767">
        <w:rPr>
          <w:rFonts w:ascii="Times New Roman" w:hAnsi="Times New Roman"/>
          <w:sz w:val="22"/>
          <w:szCs w:val="22"/>
          <w:vertAlign w:val="superscript"/>
          <w:lang w:val="es-CO"/>
        </w:rPr>
        <w:t>), el cálculo de las métricas de recurrencia discursiva y la generación de visualizaciones de datos avanzadas, como los gráficos radiales que exponen la intensidad de las categorías retóricas frente a las temáticas.</w:t>
      </w:r>
    </w:p>
  </w:footnote>
  <w:footnote w:id="7">
    <w:p w14:paraId="2D24C9D5" w14:textId="263F093C" w:rsidR="0044203F" w:rsidRPr="00D91767" w:rsidRDefault="00586DF7" w:rsidP="000823C6">
      <w:pPr>
        <w:spacing w:after="0"/>
        <w:jc w:val="both"/>
        <w:rPr>
          <w:rFonts w:ascii="Times New Roman" w:hAnsi="Times New Roman" w:cs="Times New Roman"/>
          <w:vertAlign w:val="subscript"/>
        </w:rPr>
      </w:pPr>
      <w:r>
        <w:rPr>
          <w:vertAlign w:val="superscript"/>
        </w:rPr>
        <w:footnoteRef/>
      </w:r>
      <w:r>
        <w:rPr>
          <w:sz w:val="20"/>
          <w:szCs w:val="20"/>
        </w:rPr>
        <w:t xml:space="preserve"> </w:t>
      </w:r>
      <w:r w:rsidRPr="00D91767">
        <w:rPr>
          <w:rFonts w:ascii="Times New Roman" w:hAnsi="Times New Roman" w:cs="Times New Roman"/>
          <w:vertAlign w:val="subscript"/>
        </w:rPr>
        <w:t>Consiste en proteger a las personas, la naturaleza y los seres sintientes, de tal manera que realce las libertades humanas y la plena realización del ser humano por medio de la creación de políticas sociales, medioambientales, económicas, culturales y de la fuerza pública que en su conjunto brinden al ser humano las piedras angulares de la supervivencia, los medios de vida y la dignidad (</w:t>
      </w:r>
      <w:r w:rsidRPr="00D91767">
        <w:rPr>
          <w:rFonts w:ascii="Times New Roman" w:hAnsi="Times New Roman" w:cs="Times New Roman"/>
          <w:color w:val="000000"/>
          <w:vertAlign w:val="subscript"/>
        </w:rPr>
        <w:t xml:space="preserve">Congreso de Colombia, 2022, </w:t>
      </w:r>
      <w:r w:rsidRPr="00D91767">
        <w:rPr>
          <w:rFonts w:ascii="Times New Roman" w:hAnsi="Times New Roman" w:cs="Times New Roman"/>
          <w:vertAlign w:val="subscript"/>
        </w:rPr>
        <w:t>p</w:t>
      </w:r>
      <w:r w:rsidR="00837160">
        <w:rPr>
          <w:rFonts w:ascii="Times New Roman" w:hAnsi="Times New Roman" w:cs="Times New Roman"/>
          <w:vertAlign w:val="subscript"/>
        </w:rPr>
        <w:t>.</w:t>
      </w:r>
      <w:r w:rsidRPr="00D91767">
        <w:rPr>
          <w:rFonts w:ascii="Times New Roman" w:hAnsi="Times New Roman" w:cs="Times New Roman"/>
          <w:vertAlign w:val="subscript"/>
        </w:rPr>
        <w:t xml:space="preserve"> 1).  </w:t>
      </w:r>
    </w:p>
  </w:footnote>
  <w:footnote w:id="8">
    <w:p w14:paraId="2D24C9D6" w14:textId="0D904C0F" w:rsidR="0044203F" w:rsidRPr="00D91767" w:rsidRDefault="00586DF7" w:rsidP="000823C6">
      <w:pPr>
        <w:spacing w:after="0"/>
        <w:jc w:val="both"/>
        <w:rPr>
          <w:rFonts w:ascii="Times New Roman" w:hAnsi="Times New Roman" w:cs="Times New Roman"/>
          <w:color w:val="000000"/>
          <w:vertAlign w:val="subscript"/>
        </w:rPr>
      </w:pPr>
      <w:r w:rsidRPr="00D91767">
        <w:rPr>
          <w:rFonts w:ascii="Times New Roman" w:hAnsi="Times New Roman" w:cs="Times New Roman"/>
          <w:vertAlign w:val="subscript"/>
        </w:rPr>
        <w:footnoteRef/>
      </w:r>
      <w:r w:rsidRPr="00D91767">
        <w:rPr>
          <w:rFonts w:ascii="Times New Roman" w:hAnsi="Times New Roman" w:cs="Times New Roman"/>
          <w:vertAlign w:val="subscript"/>
        </w:rPr>
        <w:t xml:space="preserve"> La política de paz es una política de Estado. Será prioritaria y transversal en los asuntos de Estado, participativa, amplia, incluyente e integral, tanto en lo referente a la implementación de acuerdos, como con relación a procesos de negociación, diálogo y sometimiento a la justicia. Los instrumentos de la Paz Total tendrán como finalidad prevalente el logro de la paz estable y duradera, con garantías de no repetición y de seguridad para todos los colombianos; estándares que eviten la impunidad y garanticen en el mayor nivel posible, los derechos de las víctimas a la verdad, la justicia y la reparación (Congreso de Colombia, 2022, </w:t>
      </w:r>
      <w:r w:rsidR="00837160">
        <w:rPr>
          <w:rFonts w:ascii="Times New Roman" w:hAnsi="Times New Roman" w:cs="Times New Roman"/>
          <w:vertAlign w:val="subscript"/>
        </w:rPr>
        <w:t>p</w:t>
      </w:r>
      <w:r w:rsidRPr="00D91767">
        <w:rPr>
          <w:rFonts w:ascii="Times New Roman" w:hAnsi="Times New Roman" w:cs="Times New Roman"/>
          <w:vertAlign w:val="subscript"/>
        </w:rPr>
        <w:t xml:space="preserve">. 1). </w:t>
      </w:r>
    </w:p>
    <w:p w14:paraId="2D24C9D7" w14:textId="77777777" w:rsidR="0044203F" w:rsidRDefault="0044203F">
      <w:pPr>
        <w:pBdr>
          <w:top w:val="nil"/>
          <w:left w:val="nil"/>
          <w:bottom w:val="nil"/>
          <w:right w:val="nil"/>
          <w:between w:val="nil"/>
        </w:pBdr>
        <w:spacing w:after="0" w:line="240" w:lineRule="auto"/>
        <w:rPr>
          <w:color w:val="000000"/>
          <w:sz w:val="20"/>
          <w:szCs w:val="20"/>
        </w:rPr>
      </w:pPr>
    </w:p>
  </w:footnote>
  <w:footnote w:id="9">
    <w:p w14:paraId="63581EC9" w14:textId="0DF312E4" w:rsidR="00DA605F" w:rsidRPr="00D91767" w:rsidRDefault="00DA605F">
      <w:pPr>
        <w:pStyle w:val="Textonotapie"/>
        <w:rPr>
          <w:rFonts w:ascii="Times New Roman" w:hAnsi="Times New Roman"/>
          <w:sz w:val="22"/>
          <w:szCs w:val="22"/>
          <w:vertAlign w:val="subscript"/>
          <w:lang w:val="es-CO"/>
        </w:rPr>
      </w:pPr>
      <w:r w:rsidRPr="00DA605F">
        <w:rPr>
          <w:rStyle w:val="Refdenotaalpie"/>
          <w:rFonts w:ascii="Times New Roman" w:hAnsi="Times New Roman"/>
          <w:sz w:val="22"/>
          <w:szCs w:val="22"/>
        </w:rPr>
        <w:footnoteRef/>
      </w:r>
      <w:r w:rsidRPr="00DC104E">
        <w:rPr>
          <w:rFonts w:ascii="Times New Roman" w:hAnsi="Times New Roman"/>
          <w:sz w:val="22"/>
          <w:szCs w:val="22"/>
          <w:lang w:val="es-CO"/>
        </w:rPr>
        <w:t xml:space="preserve"> </w:t>
      </w:r>
      <w:r w:rsidRPr="00D91767">
        <w:rPr>
          <w:rFonts w:ascii="Times New Roman" w:hAnsi="Times New Roman"/>
          <w:sz w:val="22"/>
          <w:szCs w:val="22"/>
          <w:vertAlign w:val="subscript"/>
          <w:lang w:val="es-CO"/>
        </w:rPr>
        <w:t xml:space="preserve">El porcentaje en una escala de 0 a 1, donde 0 representa la menor recurrencia y 1 la mayor en las tres categorías temáticas. </w:t>
      </w:r>
      <w:r w:rsidRPr="00D91767">
        <w:rPr>
          <w:rFonts w:ascii="Times New Roman" w:hAnsi="Times New Roman"/>
          <w:sz w:val="22"/>
          <w:szCs w:val="22"/>
          <w:vertAlign w:val="subscript"/>
        </w:rPr>
        <w:t xml:space="preserve">Esto se </w:t>
      </w:r>
      <w:proofErr w:type="spellStart"/>
      <w:r w:rsidRPr="00D91767">
        <w:rPr>
          <w:rFonts w:ascii="Times New Roman" w:hAnsi="Times New Roman"/>
          <w:sz w:val="22"/>
          <w:szCs w:val="22"/>
          <w:vertAlign w:val="subscript"/>
        </w:rPr>
        <w:t>hace</w:t>
      </w:r>
      <w:proofErr w:type="spellEnd"/>
      <w:r w:rsidRPr="00D91767">
        <w:rPr>
          <w:rFonts w:ascii="Times New Roman" w:hAnsi="Times New Roman"/>
          <w:sz w:val="22"/>
          <w:szCs w:val="22"/>
          <w:vertAlign w:val="subscript"/>
        </w:rPr>
        <w:t xml:space="preserve"> </w:t>
      </w:r>
      <w:proofErr w:type="spellStart"/>
      <w:r w:rsidRPr="00D91767">
        <w:rPr>
          <w:rFonts w:ascii="Times New Roman" w:hAnsi="Times New Roman"/>
          <w:sz w:val="22"/>
          <w:szCs w:val="22"/>
          <w:vertAlign w:val="subscript"/>
        </w:rPr>
        <w:t>dividiendo</w:t>
      </w:r>
      <w:proofErr w:type="spellEnd"/>
      <w:r w:rsidRPr="00D91767">
        <w:rPr>
          <w:rFonts w:ascii="Times New Roman" w:hAnsi="Times New Roman"/>
          <w:sz w:val="22"/>
          <w:szCs w:val="22"/>
          <w:vertAlign w:val="subscript"/>
        </w:rPr>
        <w:t xml:space="preserve"> el </w:t>
      </w:r>
      <w:proofErr w:type="spellStart"/>
      <w:r w:rsidRPr="00D91767">
        <w:rPr>
          <w:rFonts w:ascii="Times New Roman" w:hAnsi="Times New Roman"/>
          <w:sz w:val="22"/>
          <w:szCs w:val="22"/>
          <w:vertAlign w:val="subscript"/>
        </w:rPr>
        <w:t>porcentaje</w:t>
      </w:r>
      <w:proofErr w:type="spellEnd"/>
      <w:r w:rsidRPr="00D91767">
        <w:rPr>
          <w:rFonts w:ascii="Times New Roman" w:hAnsi="Times New Roman"/>
          <w:sz w:val="22"/>
          <w:szCs w:val="22"/>
          <w:vertAlign w:val="subscript"/>
        </w:rPr>
        <w:t xml:space="preserve"> por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C9C2" w14:textId="77777777" w:rsidR="0044203F" w:rsidRDefault="00586DF7">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0" distR="0" simplePos="0" relativeHeight="251658240" behindDoc="1" locked="0" layoutInCell="1" hidden="0" allowOverlap="1" wp14:anchorId="2D24C9CA" wp14:editId="2D24C9CB">
          <wp:simplePos x="0" y="0"/>
          <wp:positionH relativeFrom="column">
            <wp:posOffset>2447894</wp:posOffset>
          </wp:positionH>
          <wp:positionV relativeFrom="paragraph">
            <wp:posOffset>-387349</wp:posOffset>
          </wp:positionV>
          <wp:extent cx="1076386" cy="958533"/>
          <wp:effectExtent l="0" t="0" r="0" b="0"/>
          <wp:wrapNone/>
          <wp:docPr id="13763335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386" cy="958533"/>
                  </a:xfrm>
                  <a:prstGeom prst="rect">
                    <a:avLst/>
                  </a:prstGeom>
                  <a:ln/>
                </pic:spPr>
              </pic:pic>
            </a:graphicData>
          </a:graphic>
        </wp:anchor>
      </w:drawing>
    </w:r>
  </w:p>
  <w:p w14:paraId="2D24C9C3" w14:textId="77777777" w:rsidR="0044203F" w:rsidRDefault="0044203F">
    <w:pPr>
      <w:pBdr>
        <w:top w:val="nil"/>
        <w:left w:val="nil"/>
        <w:bottom w:val="nil"/>
        <w:right w:val="nil"/>
        <w:between w:val="nil"/>
      </w:pBdr>
      <w:tabs>
        <w:tab w:val="center" w:pos="4419"/>
        <w:tab w:val="right" w:pos="8838"/>
      </w:tabs>
      <w:spacing w:after="0" w:line="240" w:lineRule="auto"/>
      <w:jc w:val="center"/>
      <w:rPr>
        <w:color w:val="000000"/>
      </w:rPr>
    </w:pPr>
  </w:p>
  <w:p w14:paraId="2D24C9C4" w14:textId="77777777" w:rsidR="0044203F" w:rsidRDefault="0044203F">
    <w:pPr>
      <w:pBdr>
        <w:top w:val="nil"/>
        <w:left w:val="nil"/>
        <w:bottom w:val="nil"/>
        <w:right w:val="nil"/>
        <w:between w:val="nil"/>
      </w:pBdr>
      <w:tabs>
        <w:tab w:val="center" w:pos="4419"/>
        <w:tab w:val="right" w:pos="8838"/>
      </w:tabs>
      <w:spacing w:after="0" w:line="240" w:lineRule="auto"/>
      <w:jc w:val="center"/>
      <w:rPr>
        <w:color w:val="000000"/>
      </w:rPr>
    </w:pPr>
  </w:p>
  <w:p w14:paraId="18DD63EC" w14:textId="77777777" w:rsidR="0034717F" w:rsidRDefault="0034717F">
    <w:pPr>
      <w:pBdr>
        <w:top w:val="nil"/>
        <w:left w:val="nil"/>
        <w:bottom w:val="nil"/>
        <w:right w:val="nil"/>
        <w:between w:val="nil"/>
      </w:pBdr>
      <w:tabs>
        <w:tab w:val="center" w:pos="4419"/>
        <w:tab w:val="right" w:pos="8838"/>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C9C6" w14:textId="77777777" w:rsidR="0044203F" w:rsidRDefault="00586DF7">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0" distR="0" simplePos="0" relativeHeight="251658241" behindDoc="1" locked="0" layoutInCell="1" hidden="0" allowOverlap="1" wp14:anchorId="2D24C9CC" wp14:editId="2D24C9CD">
          <wp:simplePos x="0" y="0"/>
          <wp:positionH relativeFrom="column">
            <wp:posOffset>2447894</wp:posOffset>
          </wp:positionH>
          <wp:positionV relativeFrom="paragraph">
            <wp:posOffset>-342421</wp:posOffset>
          </wp:positionV>
          <wp:extent cx="1076386" cy="958533"/>
          <wp:effectExtent l="0" t="0" r="0" b="0"/>
          <wp:wrapNone/>
          <wp:docPr id="1376333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6386" cy="958533"/>
                  </a:xfrm>
                  <a:prstGeom prst="rect">
                    <a:avLst/>
                  </a:prstGeom>
                  <a:ln/>
                </pic:spPr>
              </pic:pic>
            </a:graphicData>
          </a:graphic>
        </wp:anchor>
      </w:drawing>
    </w:r>
  </w:p>
  <w:p w14:paraId="2D24C9C7" w14:textId="77777777" w:rsidR="0044203F" w:rsidRDefault="0044203F">
    <w:pPr>
      <w:pBdr>
        <w:top w:val="nil"/>
        <w:left w:val="nil"/>
        <w:bottom w:val="nil"/>
        <w:right w:val="nil"/>
        <w:between w:val="nil"/>
      </w:pBdr>
      <w:tabs>
        <w:tab w:val="center" w:pos="4419"/>
        <w:tab w:val="right" w:pos="8838"/>
      </w:tabs>
      <w:spacing w:after="0" w:line="240" w:lineRule="auto"/>
      <w:jc w:val="center"/>
      <w:rPr>
        <w:color w:val="000000"/>
      </w:rPr>
    </w:pPr>
  </w:p>
  <w:p w14:paraId="2D24C9C8" w14:textId="77777777" w:rsidR="0044203F" w:rsidRDefault="0044203F">
    <w:pPr>
      <w:pBdr>
        <w:top w:val="nil"/>
        <w:left w:val="nil"/>
        <w:bottom w:val="nil"/>
        <w:right w:val="nil"/>
        <w:between w:val="nil"/>
      </w:pBdr>
      <w:tabs>
        <w:tab w:val="center" w:pos="4419"/>
        <w:tab w:val="right" w:pos="8838"/>
      </w:tabs>
      <w:spacing w:after="0" w:line="240" w:lineRule="auto"/>
      <w:jc w:val="center"/>
      <w:rPr>
        <w:color w:val="000000"/>
      </w:rPr>
    </w:pPr>
  </w:p>
  <w:p w14:paraId="2D24C9C9" w14:textId="77777777" w:rsidR="0044203F" w:rsidRDefault="0044203F">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8B2"/>
    <w:multiLevelType w:val="multilevel"/>
    <w:tmpl w:val="248A2BF8"/>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C54C7"/>
    <w:multiLevelType w:val="multilevel"/>
    <w:tmpl w:val="45263752"/>
    <w:lvl w:ilvl="0">
      <w:start w:val="1"/>
      <w:numFmt w:val="bullet"/>
      <w:lvlText w:val="●"/>
      <w:lvlJc w:val="left"/>
      <w:pPr>
        <w:ind w:left="10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345D18"/>
    <w:multiLevelType w:val="multilevel"/>
    <w:tmpl w:val="5B762E0E"/>
    <w:lvl w:ilvl="0">
      <w:start w:val="1"/>
      <w:numFmt w:val="bullet"/>
      <w:lvlText w:val="●"/>
      <w:lvlJc w:val="left"/>
      <w:pPr>
        <w:ind w:left="10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6043065">
    <w:abstractNumId w:val="2"/>
  </w:num>
  <w:num w:numId="2" w16cid:durableId="576592695">
    <w:abstractNumId w:val="0"/>
  </w:num>
  <w:num w:numId="3" w16cid:durableId="1344699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3N7cwMLYwNzC3sDBU0lEKTi0uzszPAykwrQUAZ9I6VSwAAAA="/>
  </w:docVars>
  <w:rsids>
    <w:rsidRoot w:val="0044203F"/>
    <w:rsid w:val="000059F5"/>
    <w:rsid w:val="0001467A"/>
    <w:rsid w:val="000224B3"/>
    <w:rsid w:val="000244F5"/>
    <w:rsid w:val="00033148"/>
    <w:rsid w:val="000370A7"/>
    <w:rsid w:val="00042896"/>
    <w:rsid w:val="0005093B"/>
    <w:rsid w:val="00075163"/>
    <w:rsid w:val="000776D5"/>
    <w:rsid w:val="000823C6"/>
    <w:rsid w:val="000849C5"/>
    <w:rsid w:val="000A241D"/>
    <w:rsid w:val="000B0BF8"/>
    <w:rsid w:val="000B39C5"/>
    <w:rsid w:val="000B4F81"/>
    <w:rsid w:val="000B6C56"/>
    <w:rsid w:val="000D431F"/>
    <w:rsid w:val="000E4E6B"/>
    <w:rsid w:val="000E5A7F"/>
    <w:rsid w:val="000F2D01"/>
    <w:rsid w:val="0011310F"/>
    <w:rsid w:val="001218A7"/>
    <w:rsid w:val="00124523"/>
    <w:rsid w:val="00124BEA"/>
    <w:rsid w:val="00135FCA"/>
    <w:rsid w:val="00144B55"/>
    <w:rsid w:val="0015325F"/>
    <w:rsid w:val="00163D70"/>
    <w:rsid w:val="001752F9"/>
    <w:rsid w:val="00177C12"/>
    <w:rsid w:val="00190C79"/>
    <w:rsid w:val="00197FC7"/>
    <w:rsid w:val="001B65FE"/>
    <w:rsid w:val="001D0CBB"/>
    <w:rsid w:val="001E1EE0"/>
    <w:rsid w:val="001E546D"/>
    <w:rsid w:val="001F4315"/>
    <w:rsid w:val="00205F64"/>
    <w:rsid w:val="00215ADC"/>
    <w:rsid w:val="002451E6"/>
    <w:rsid w:val="00256854"/>
    <w:rsid w:val="002C077D"/>
    <w:rsid w:val="002C20DF"/>
    <w:rsid w:val="002D0FF5"/>
    <w:rsid w:val="002D5E34"/>
    <w:rsid w:val="00342419"/>
    <w:rsid w:val="00344D30"/>
    <w:rsid w:val="00345E39"/>
    <w:rsid w:val="0034717F"/>
    <w:rsid w:val="00366FDD"/>
    <w:rsid w:val="003733E1"/>
    <w:rsid w:val="0037672A"/>
    <w:rsid w:val="00376FA9"/>
    <w:rsid w:val="003D34EB"/>
    <w:rsid w:val="003E04B4"/>
    <w:rsid w:val="003E3411"/>
    <w:rsid w:val="004045C4"/>
    <w:rsid w:val="0041407F"/>
    <w:rsid w:val="0041522D"/>
    <w:rsid w:val="00417B67"/>
    <w:rsid w:val="004226DA"/>
    <w:rsid w:val="00423A0F"/>
    <w:rsid w:val="004252D6"/>
    <w:rsid w:val="00427539"/>
    <w:rsid w:val="0043312B"/>
    <w:rsid w:val="0044203F"/>
    <w:rsid w:val="00465FE9"/>
    <w:rsid w:val="00476A23"/>
    <w:rsid w:val="00477CC0"/>
    <w:rsid w:val="00481ED1"/>
    <w:rsid w:val="0048793A"/>
    <w:rsid w:val="004950DE"/>
    <w:rsid w:val="004A293C"/>
    <w:rsid w:val="004B1926"/>
    <w:rsid w:val="004D07D6"/>
    <w:rsid w:val="004D0FD0"/>
    <w:rsid w:val="004D671E"/>
    <w:rsid w:val="004E7E21"/>
    <w:rsid w:val="004F0EF9"/>
    <w:rsid w:val="004F5DDE"/>
    <w:rsid w:val="005049E1"/>
    <w:rsid w:val="00511341"/>
    <w:rsid w:val="00511674"/>
    <w:rsid w:val="00513C1C"/>
    <w:rsid w:val="00521F8E"/>
    <w:rsid w:val="005519D9"/>
    <w:rsid w:val="00586DF7"/>
    <w:rsid w:val="00593338"/>
    <w:rsid w:val="005A4471"/>
    <w:rsid w:val="005A76D5"/>
    <w:rsid w:val="005B0EB1"/>
    <w:rsid w:val="005B154C"/>
    <w:rsid w:val="005C7803"/>
    <w:rsid w:val="005C7D26"/>
    <w:rsid w:val="005D13B3"/>
    <w:rsid w:val="005D4A56"/>
    <w:rsid w:val="005F5A7C"/>
    <w:rsid w:val="00607751"/>
    <w:rsid w:val="00611C0C"/>
    <w:rsid w:val="00624357"/>
    <w:rsid w:val="00627398"/>
    <w:rsid w:val="00627F76"/>
    <w:rsid w:val="006A77A5"/>
    <w:rsid w:val="006B453F"/>
    <w:rsid w:val="006B5129"/>
    <w:rsid w:val="006E0296"/>
    <w:rsid w:val="006E2C0C"/>
    <w:rsid w:val="006E5202"/>
    <w:rsid w:val="006E66EC"/>
    <w:rsid w:val="006E75EE"/>
    <w:rsid w:val="006E7F15"/>
    <w:rsid w:val="006F5574"/>
    <w:rsid w:val="00710D92"/>
    <w:rsid w:val="0072228D"/>
    <w:rsid w:val="00743B3D"/>
    <w:rsid w:val="00753F56"/>
    <w:rsid w:val="00755FFD"/>
    <w:rsid w:val="00774A3E"/>
    <w:rsid w:val="0078422D"/>
    <w:rsid w:val="007C6D48"/>
    <w:rsid w:val="007D6710"/>
    <w:rsid w:val="007D7C61"/>
    <w:rsid w:val="007E2726"/>
    <w:rsid w:val="00815D52"/>
    <w:rsid w:val="00823889"/>
    <w:rsid w:val="00837160"/>
    <w:rsid w:val="0085044C"/>
    <w:rsid w:val="00851958"/>
    <w:rsid w:val="00851E47"/>
    <w:rsid w:val="008636F2"/>
    <w:rsid w:val="008654F8"/>
    <w:rsid w:val="008739A9"/>
    <w:rsid w:val="00874007"/>
    <w:rsid w:val="00895F68"/>
    <w:rsid w:val="008A174B"/>
    <w:rsid w:val="008A50B2"/>
    <w:rsid w:val="008D49B4"/>
    <w:rsid w:val="008D7EDF"/>
    <w:rsid w:val="008E24F9"/>
    <w:rsid w:val="008F03F4"/>
    <w:rsid w:val="0090385D"/>
    <w:rsid w:val="00914C37"/>
    <w:rsid w:val="00945EF5"/>
    <w:rsid w:val="00966AFF"/>
    <w:rsid w:val="00967E9B"/>
    <w:rsid w:val="00987B59"/>
    <w:rsid w:val="00995C19"/>
    <w:rsid w:val="009A4595"/>
    <w:rsid w:val="009C2FD8"/>
    <w:rsid w:val="009D1E31"/>
    <w:rsid w:val="009E03D6"/>
    <w:rsid w:val="009F6C74"/>
    <w:rsid w:val="00A16E73"/>
    <w:rsid w:val="00A17CC8"/>
    <w:rsid w:val="00A24BF2"/>
    <w:rsid w:val="00A35D75"/>
    <w:rsid w:val="00A44C79"/>
    <w:rsid w:val="00A554CA"/>
    <w:rsid w:val="00A60CD6"/>
    <w:rsid w:val="00A72244"/>
    <w:rsid w:val="00A7697E"/>
    <w:rsid w:val="00AB2C7A"/>
    <w:rsid w:val="00AB446A"/>
    <w:rsid w:val="00AE1435"/>
    <w:rsid w:val="00AF7E05"/>
    <w:rsid w:val="00B20D95"/>
    <w:rsid w:val="00B2578A"/>
    <w:rsid w:val="00B30DEB"/>
    <w:rsid w:val="00B318B0"/>
    <w:rsid w:val="00B31F90"/>
    <w:rsid w:val="00B33B51"/>
    <w:rsid w:val="00B54876"/>
    <w:rsid w:val="00B60F58"/>
    <w:rsid w:val="00B71089"/>
    <w:rsid w:val="00B96FED"/>
    <w:rsid w:val="00B978B1"/>
    <w:rsid w:val="00BB53B5"/>
    <w:rsid w:val="00BD45FC"/>
    <w:rsid w:val="00BD5367"/>
    <w:rsid w:val="00BF2E65"/>
    <w:rsid w:val="00C02F50"/>
    <w:rsid w:val="00C05B42"/>
    <w:rsid w:val="00C13946"/>
    <w:rsid w:val="00C1779B"/>
    <w:rsid w:val="00C26E83"/>
    <w:rsid w:val="00C27E69"/>
    <w:rsid w:val="00C377F4"/>
    <w:rsid w:val="00C9183D"/>
    <w:rsid w:val="00CA29B7"/>
    <w:rsid w:val="00CB6E8E"/>
    <w:rsid w:val="00CF39A6"/>
    <w:rsid w:val="00D16EFF"/>
    <w:rsid w:val="00D24F0A"/>
    <w:rsid w:val="00D354AF"/>
    <w:rsid w:val="00D57F14"/>
    <w:rsid w:val="00D61332"/>
    <w:rsid w:val="00D62431"/>
    <w:rsid w:val="00D64986"/>
    <w:rsid w:val="00D870B0"/>
    <w:rsid w:val="00D91767"/>
    <w:rsid w:val="00D95667"/>
    <w:rsid w:val="00DA605F"/>
    <w:rsid w:val="00DA7799"/>
    <w:rsid w:val="00DC08A9"/>
    <w:rsid w:val="00DC104E"/>
    <w:rsid w:val="00DC5796"/>
    <w:rsid w:val="00DE5A21"/>
    <w:rsid w:val="00E21D00"/>
    <w:rsid w:val="00E238FD"/>
    <w:rsid w:val="00E301E4"/>
    <w:rsid w:val="00E427AA"/>
    <w:rsid w:val="00E44C79"/>
    <w:rsid w:val="00E55E2C"/>
    <w:rsid w:val="00E615F3"/>
    <w:rsid w:val="00E67FC5"/>
    <w:rsid w:val="00E7027A"/>
    <w:rsid w:val="00E76B1F"/>
    <w:rsid w:val="00E76E7F"/>
    <w:rsid w:val="00E97152"/>
    <w:rsid w:val="00EA681F"/>
    <w:rsid w:val="00EA716E"/>
    <w:rsid w:val="00EB6331"/>
    <w:rsid w:val="00EC02EB"/>
    <w:rsid w:val="00EC4264"/>
    <w:rsid w:val="00ED2EFB"/>
    <w:rsid w:val="00EE58E8"/>
    <w:rsid w:val="00F008CE"/>
    <w:rsid w:val="00F06AE3"/>
    <w:rsid w:val="00F2282A"/>
    <w:rsid w:val="00F34DC8"/>
    <w:rsid w:val="00F41435"/>
    <w:rsid w:val="00F5176A"/>
    <w:rsid w:val="00F9114B"/>
    <w:rsid w:val="00FB1C69"/>
    <w:rsid w:val="00FB3F37"/>
    <w:rsid w:val="00FE008A"/>
    <w:rsid w:val="00FF29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4C8BC"/>
  <w15:docId w15:val="{D6C55AE3-A88F-4958-A894-E4331F8A6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0"/>
      <w:outlineLvl w:val="0"/>
    </w:pPr>
    <w:rPr>
      <w:rFonts w:ascii="Cambria" w:eastAsia="Cambria" w:hAnsi="Cambria" w:cs="Cambria"/>
      <w:b/>
      <w:bCs/>
      <w:color w:val="366091"/>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mbria" w:eastAsia="Cambria" w:hAnsi="Cambria" w:cs="Cambria"/>
      <w:b/>
      <w:bCs/>
      <w:color w:val="4F81BD"/>
    </w:rPr>
  </w:style>
  <w:style w:type="paragraph" w:styleId="Ttulo4">
    <w:name w:val="heading 4"/>
    <w:basedOn w:val="Normal"/>
    <w:next w:val="Normal"/>
    <w:uiPriority w:val="9"/>
    <w:semiHidden/>
    <w:unhideWhenUsed/>
    <w:qFormat/>
    <w:pPr>
      <w:widowControl w:val="0"/>
      <w:spacing w:before="240" w:after="60" w:line="360" w:lineRule="auto"/>
      <w:ind w:firstLine="851"/>
      <w:jc w:val="both"/>
      <w:outlineLvl w:val="3"/>
    </w:pPr>
    <w:rPr>
      <w:rFonts w:ascii="Times New Roman" w:eastAsia="Times New Roman" w:hAnsi="Times New Roman" w:cs="Times New Roman"/>
      <w:b/>
      <w:bCs/>
      <w:i/>
      <w:iCs/>
      <w:sz w:val="24"/>
      <w:szCs w:val="24"/>
    </w:rPr>
  </w:style>
  <w:style w:type="paragraph" w:styleId="Ttulo5">
    <w:name w:val="heading 5"/>
    <w:basedOn w:val="Normal"/>
    <w:next w:val="Normal"/>
    <w:uiPriority w:val="9"/>
    <w:semiHidden/>
    <w:unhideWhenUsed/>
    <w:qFormat/>
    <w:pPr>
      <w:keepNext/>
      <w:keepLines/>
      <w:spacing w:before="200" w:after="0" w:line="240" w:lineRule="auto"/>
      <w:jc w:val="both"/>
      <w:outlineLvl w:val="4"/>
    </w:pPr>
    <w:rPr>
      <w:rFonts w:ascii="Cambria" w:eastAsia="Cambria" w:hAnsi="Cambria" w:cs="Cambria"/>
      <w:color w:val="243F61"/>
      <w:sz w:val="24"/>
      <w:szCs w:val="24"/>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480" w:lineRule="auto"/>
      <w:ind w:firstLine="340"/>
    </w:pPr>
    <w:rPr>
      <w:rFonts w:ascii="Arial" w:eastAsia="Arial" w:hAnsi="Arial" w:cs="Arial"/>
      <w:sz w:val="24"/>
      <w:szCs w:val="24"/>
    </w:rPr>
  </w:style>
  <w:style w:type="character" w:customStyle="1" w:styleId="Ttulo1Car">
    <w:name w:val="Título 1 Car"/>
    <w:basedOn w:val="Fuentedeprrafopredeter"/>
    <w:uiPriority w:val="9"/>
    <w:rsid w:val="00E836D6"/>
    <w:rPr>
      <w:rFonts w:asciiTheme="majorHAnsi" w:eastAsiaTheme="majorEastAsia" w:hAnsiTheme="majorHAnsi" w:cstheme="majorBidi"/>
      <w:b/>
      <w:bCs/>
      <w:color w:val="365F91" w:themeColor="accent1" w:themeShade="BF"/>
      <w:sz w:val="28"/>
      <w:szCs w:val="28"/>
      <w:lang w:eastAsia="es-CO"/>
    </w:rPr>
  </w:style>
  <w:style w:type="character" w:customStyle="1" w:styleId="Ttulo3Car">
    <w:name w:val="Título 3 Car"/>
    <w:basedOn w:val="Fuentedeprrafopredeter"/>
    <w:uiPriority w:val="9"/>
    <w:semiHidden/>
    <w:rsid w:val="00E836D6"/>
    <w:rPr>
      <w:rFonts w:asciiTheme="majorHAnsi" w:eastAsiaTheme="majorEastAsia" w:hAnsiTheme="majorHAnsi" w:cstheme="majorBidi"/>
      <w:b/>
      <w:bCs/>
      <w:color w:val="4F81BD" w:themeColor="accent1"/>
      <w:lang w:eastAsia="es-CO"/>
    </w:rPr>
  </w:style>
  <w:style w:type="character" w:customStyle="1" w:styleId="Ttulo4Car">
    <w:name w:val="Título 4 Car"/>
    <w:basedOn w:val="Fuentedeprrafopredeter"/>
    <w:uiPriority w:val="9"/>
    <w:rsid w:val="00E836D6"/>
    <w:rPr>
      <w:rFonts w:ascii="Times New Roman" w:eastAsia="Times New Roman" w:hAnsi="Times New Roman" w:cs="Times New Roman"/>
      <w:b/>
      <w:bCs/>
      <w:i/>
      <w:sz w:val="24"/>
      <w:szCs w:val="28"/>
      <w:lang w:eastAsia="es-CO"/>
    </w:rPr>
  </w:style>
  <w:style w:type="character" w:customStyle="1" w:styleId="Ttulo5Car">
    <w:name w:val="Título 5 Car"/>
    <w:basedOn w:val="Fuentedeprrafopredeter"/>
    <w:uiPriority w:val="9"/>
    <w:rsid w:val="00E836D6"/>
    <w:rPr>
      <w:rFonts w:asciiTheme="majorHAnsi" w:eastAsiaTheme="majorEastAsia" w:hAnsiTheme="majorHAnsi" w:cstheme="majorBidi"/>
      <w:color w:val="243F60" w:themeColor="accent1" w:themeShade="7F"/>
      <w:sz w:val="24"/>
      <w:szCs w:val="24"/>
      <w:lang w:val="es-ES" w:eastAsia="es-ES"/>
    </w:rPr>
  </w:style>
  <w:style w:type="paragraph" w:styleId="Encabezado">
    <w:name w:val="header"/>
    <w:basedOn w:val="Normal"/>
    <w:link w:val="EncabezadoCar"/>
    <w:uiPriority w:val="99"/>
    <w:unhideWhenUsed/>
    <w:rsid w:val="00E83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6D6"/>
    <w:rPr>
      <w:rFonts w:eastAsiaTheme="minorEastAsia"/>
      <w:lang w:eastAsia="es-CO"/>
    </w:rPr>
  </w:style>
  <w:style w:type="paragraph" w:styleId="Piedepgina">
    <w:name w:val="footer"/>
    <w:basedOn w:val="Normal"/>
    <w:link w:val="PiedepginaCar"/>
    <w:uiPriority w:val="99"/>
    <w:unhideWhenUsed/>
    <w:rsid w:val="00E83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36D6"/>
    <w:rPr>
      <w:rFonts w:eastAsiaTheme="minorEastAsia"/>
      <w:lang w:eastAsia="es-CO"/>
    </w:rPr>
  </w:style>
  <w:style w:type="paragraph" w:customStyle="1" w:styleId="Default">
    <w:name w:val="Default"/>
    <w:rsid w:val="00E836D6"/>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unhideWhenUsed/>
    <w:rsid w:val="00E836D6"/>
    <w:pPr>
      <w:spacing w:after="0" w:line="240" w:lineRule="auto"/>
    </w:pPr>
    <w:rPr>
      <w:rFonts w:eastAsia="Times New Roman" w:cs="Times New Roman"/>
      <w:sz w:val="20"/>
      <w:szCs w:val="20"/>
      <w:lang w:val="en-US" w:bidi="en-US"/>
    </w:rPr>
  </w:style>
  <w:style w:type="character" w:customStyle="1" w:styleId="TextonotapieCar">
    <w:name w:val="Texto nota pie Car"/>
    <w:basedOn w:val="Fuentedeprrafopredeter"/>
    <w:link w:val="Textonotapie"/>
    <w:uiPriority w:val="99"/>
    <w:rsid w:val="00E836D6"/>
    <w:rPr>
      <w:rFonts w:eastAsia="Times New Roman" w:cs="Times New Roman"/>
      <w:sz w:val="20"/>
      <w:szCs w:val="20"/>
      <w:lang w:val="en-US" w:bidi="en-US"/>
    </w:rPr>
  </w:style>
  <w:style w:type="paragraph" w:styleId="Prrafodelista">
    <w:name w:val="List Paragraph"/>
    <w:basedOn w:val="Normal"/>
    <w:uiPriority w:val="34"/>
    <w:qFormat/>
    <w:rsid w:val="00E836D6"/>
    <w:pPr>
      <w:spacing w:after="0" w:line="240" w:lineRule="auto"/>
      <w:ind w:left="720"/>
      <w:contextualSpacing/>
    </w:pPr>
    <w:rPr>
      <w:rFonts w:ascii="Arial" w:eastAsia="Times New Roman" w:hAnsi="Arial" w:cs="Arial"/>
      <w:sz w:val="24"/>
      <w:szCs w:val="24"/>
      <w:lang w:val="es-ES" w:eastAsia="es-ES"/>
    </w:rPr>
  </w:style>
  <w:style w:type="character" w:customStyle="1" w:styleId="mw-headline">
    <w:name w:val="mw-headline"/>
    <w:basedOn w:val="Fuentedeprrafopredeter"/>
    <w:rsid w:val="00E836D6"/>
  </w:style>
  <w:style w:type="paragraph" w:styleId="NormalWeb">
    <w:name w:val="Normal (Web)"/>
    <w:basedOn w:val="Normal"/>
    <w:uiPriority w:val="99"/>
    <w:unhideWhenUsed/>
    <w:rsid w:val="00E836D6"/>
    <w:pPr>
      <w:spacing w:before="100" w:beforeAutospacing="1" w:after="100" w:afterAutospacing="1" w:line="240" w:lineRule="auto"/>
    </w:pPr>
    <w:rPr>
      <w:rFonts w:ascii="Times New Roman" w:eastAsia="Times New Roman" w:hAnsi="Times New Roman" w:cs="Times New Roman"/>
      <w:sz w:val="24"/>
      <w:szCs w:val="24"/>
    </w:rPr>
  </w:style>
  <w:style w:type="character" w:styleId="Refdenotaalpie">
    <w:name w:val="footnote reference"/>
    <w:basedOn w:val="Fuentedeprrafopredeter"/>
    <w:uiPriority w:val="99"/>
    <w:unhideWhenUsed/>
    <w:rsid w:val="00E836D6"/>
    <w:rPr>
      <w:vertAlign w:val="superscript"/>
    </w:rPr>
  </w:style>
  <w:style w:type="paragraph" w:styleId="Sinespaciado">
    <w:name w:val="No Spacing"/>
    <w:aliases w:val="Ilustraciones"/>
    <w:link w:val="SinespaciadoCar"/>
    <w:uiPriority w:val="1"/>
    <w:qFormat/>
    <w:rsid w:val="00E836D6"/>
    <w:pPr>
      <w:widowControl w:val="0"/>
      <w:autoSpaceDE w:val="0"/>
      <w:autoSpaceDN w:val="0"/>
      <w:adjustRightInd w:val="0"/>
      <w:spacing w:after="120" w:line="240" w:lineRule="auto"/>
      <w:ind w:firstLine="709"/>
    </w:pPr>
    <w:rPr>
      <w:rFonts w:ascii="Arial" w:eastAsia="Times New Roman" w:hAnsi="Arial" w:cs="Arial"/>
      <w:b/>
      <w:iCs/>
      <w:color w:val="000000"/>
      <w:sz w:val="20"/>
      <w:szCs w:val="20"/>
    </w:rPr>
  </w:style>
  <w:style w:type="character" w:customStyle="1" w:styleId="SinespaciadoCar">
    <w:name w:val="Sin espaciado Car"/>
    <w:aliases w:val="Ilustraciones Car"/>
    <w:basedOn w:val="Fuentedeprrafopredeter"/>
    <w:link w:val="Sinespaciado"/>
    <w:uiPriority w:val="1"/>
    <w:rsid w:val="00E836D6"/>
    <w:rPr>
      <w:rFonts w:ascii="Arial" w:eastAsia="Times New Roman" w:hAnsi="Arial" w:cs="Arial"/>
      <w:b/>
      <w:iCs/>
      <w:color w:val="000000"/>
      <w:sz w:val="20"/>
      <w:szCs w:val="20"/>
      <w:lang w:eastAsia="es-CO"/>
    </w:rPr>
  </w:style>
  <w:style w:type="paragraph" w:styleId="Textodeglobo">
    <w:name w:val="Balloon Text"/>
    <w:basedOn w:val="Normal"/>
    <w:link w:val="TextodegloboCar"/>
    <w:uiPriority w:val="99"/>
    <w:semiHidden/>
    <w:unhideWhenUsed/>
    <w:rsid w:val="00E836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6D6"/>
    <w:rPr>
      <w:rFonts w:ascii="Tahoma" w:eastAsiaTheme="minorEastAsia" w:hAnsi="Tahoma" w:cs="Tahoma"/>
      <w:sz w:val="16"/>
      <w:szCs w:val="16"/>
      <w:lang w:eastAsia="es-CO"/>
    </w:rPr>
  </w:style>
  <w:style w:type="paragraph" w:customStyle="1" w:styleId="Body1">
    <w:name w:val="Body 1"/>
    <w:rsid w:val="00E836D6"/>
    <w:pPr>
      <w:spacing w:after="0" w:line="240" w:lineRule="auto"/>
      <w:outlineLvl w:val="0"/>
    </w:pPr>
    <w:rPr>
      <w:rFonts w:ascii="Arial" w:eastAsia="Arial Unicode MS" w:hAnsi="Arial" w:cs="Times New Roman"/>
      <w:color w:val="000000"/>
      <w:sz w:val="24"/>
      <w:szCs w:val="20"/>
      <w:u w:color="000000"/>
    </w:rPr>
  </w:style>
  <w:style w:type="character" w:styleId="Hipervnculo">
    <w:name w:val="Hyperlink"/>
    <w:basedOn w:val="Fuentedeprrafopredeter"/>
    <w:uiPriority w:val="99"/>
    <w:unhideWhenUsed/>
    <w:rsid w:val="00E836D6"/>
    <w:rPr>
      <w:color w:val="0000FF" w:themeColor="hyperlink"/>
      <w:u w:val="single"/>
    </w:rPr>
  </w:style>
  <w:style w:type="table" w:styleId="Tablaconcuadrcula">
    <w:name w:val="Table Grid"/>
    <w:basedOn w:val="Tablanormal"/>
    <w:uiPriority w:val="39"/>
    <w:rsid w:val="00E836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basedOn w:val="Fuentedeprrafopredeter"/>
    <w:rsid w:val="006D4A1F"/>
    <w:rPr>
      <w:rFonts w:ascii="Arial" w:eastAsia="Times New Roman" w:hAnsi="Arial" w:cs="Arial"/>
      <w:bCs/>
      <w:kern w:val="28"/>
      <w:sz w:val="24"/>
      <w:szCs w:val="24"/>
      <w:lang w:val="es-ES" w:eastAsia="es-ES"/>
    </w:rPr>
  </w:style>
  <w:style w:type="character" w:customStyle="1" w:styleId="SubttuloCar">
    <w:name w:val="Subtítulo Car"/>
    <w:basedOn w:val="Fuentedeprrafopredeter"/>
    <w:rsid w:val="00E836D6"/>
    <w:rPr>
      <w:rFonts w:ascii="Tahoma" w:eastAsia="Times New Roman" w:hAnsi="Tahoma" w:cs="Arial"/>
      <w:b/>
      <w:sz w:val="18"/>
      <w:szCs w:val="24"/>
      <w:lang w:val="es-ES" w:eastAsia="es-ES"/>
    </w:rPr>
  </w:style>
  <w:style w:type="character" w:customStyle="1" w:styleId="TextocomentarioCar">
    <w:name w:val="Texto comentario Car"/>
    <w:basedOn w:val="Fuentedeprrafopredeter"/>
    <w:link w:val="Textocomentario"/>
    <w:uiPriority w:val="99"/>
    <w:rsid w:val="00E836D6"/>
    <w:rPr>
      <w:rFonts w:ascii="Tahoma" w:eastAsia="Times New Roman" w:hAnsi="Tahoma" w:cs="Arial"/>
      <w:sz w:val="20"/>
      <w:szCs w:val="20"/>
      <w:lang w:val="es-ES" w:eastAsia="es-ES"/>
    </w:rPr>
  </w:style>
  <w:style w:type="paragraph" w:styleId="Textocomentario">
    <w:name w:val="annotation text"/>
    <w:basedOn w:val="Normal"/>
    <w:link w:val="TextocomentarioCar"/>
    <w:uiPriority w:val="99"/>
    <w:unhideWhenUsed/>
    <w:rsid w:val="00E836D6"/>
    <w:pPr>
      <w:spacing w:before="120" w:after="240" w:line="240" w:lineRule="auto"/>
      <w:jc w:val="both"/>
    </w:pPr>
    <w:rPr>
      <w:rFonts w:ascii="Tahoma" w:eastAsia="Times New Roman" w:hAnsi="Tahoma" w:cs="Arial"/>
      <w:sz w:val="20"/>
      <w:szCs w:val="20"/>
      <w:lang w:val="es-ES" w:eastAsia="es-ES"/>
    </w:rPr>
  </w:style>
  <w:style w:type="character" w:customStyle="1" w:styleId="TextocomentarioCar1">
    <w:name w:val="Texto comentario Car1"/>
    <w:basedOn w:val="Fuentedeprrafopredeter"/>
    <w:uiPriority w:val="99"/>
    <w:semiHidden/>
    <w:rsid w:val="00E836D6"/>
    <w:rPr>
      <w:rFonts w:eastAsiaTheme="minorEastAsia"/>
      <w:sz w:val="20"/>
      <w:szCs w:val="20"/>
      <w:lang w:eastAsia="es-CO"/>
    </w:rPr>
  </w:style>
  <w:style w:type="character" w:customStyle="1" w:styleId="AsuntodelcomentarioCar">
    <w:name w:val="Asunto del comentario Car"/>
    <w:basedOn w:val="TextocomentarioCar"/>
    <w:link w:val="Asuntodelcomentario"/>
    <w:uiPriority w:val="99"/>
    <w:semiHidden/>
    <w:rsid w:val="00E836D6"/>
    <w:rPr>
      <w:rFonts w:ascii="Tahoma" w:eastAsia="Times New Roman" w:hAnsi="Tahoma" w:cs="Arial"/>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836D6"/>
    <w:rPr>
      <w:b/>
      <w:bCs/>
    </w:rPr>
  </w:style>
  <w:style w:type="character" w:customStyle="1" w:styleId="AsuntodelcomentarioCar1">
    <w:name w:val="Asunto del comentario Car1"/>
    <w:basedOn w:val="TextocomentarioCar1"/>
    <w:uiPriority w:val="99"/>
    <w:semiHidden/>
    <w:rsid w:val="00E836D6"/>
    <w:rPr>
      <w:rFonts w:eastAsiaTheme="minorEastAsia"/>
      <w:b/>
      <w:bCs/>
      <w:sz w:val="20"/>
      <w:szCs w:val="20"/>
      <w:lang w:eastAsia="es-CO"/>
    </w:rPr>
  </w:style>
  <w:style w:type="character" w:styleId="Refdecomentario">
    <w:name w:val="annotation reference"/>
    <w:basedOn w:val="Fuentedeprrafopredeter"/>
    <w:uiPriority w:val="99"/>
    <w:semiHidden/>
    <w:unhideWhenUsed/>
    <w:rsid w:val="00E836D6"/>
    <w:rPr>
      <w:sz w:val="16"/>
      <w:szCs w:val="16"/>
    </w:rPr>
  </w:style>
  <w:style w:type="character" w:styleId="Textoennegrita">
    <w:name w:val="Strong"/>
    <w:basedOn w:val="Fuentedeprrafopredeter"/>
    <w:uiPriority w:val="22"/>
    <w:qFormat/>
    <w:rsid w:val="00E836D6"/>
    <w:rPr>
      <w:b/>
      <w:bCs/>
    </w:rPr>
  </w:style>
  <w:style w:type="character" w:customStyle="1" w:styleId="hps">
    <w:name w:val="hps"/>
    <w:basedOn w:val="Fuentedeprrafopredeter"/>
    <w:rsid w:val="00943290"/>
  </w:style>
  <w:style w:type="character" w:styleId="nfasis">
    <w:name w:val="Emphasis"/>
    <w:basedOn w:val="Fuentedeprrafopredeter"/>
    <w:uiPriority w:val="20"/>
    <w:qFormat/>
    <w:rsid w:val="0067017E"/>
    <w:rPr>
      <w:i/>
      <w:iCs/>
    </w:rPr>
  </w:style>
  <w:style w:type="character" w:styleId="Hipervnculovisitado">
    <w:name w:val="FollowedHyperlink"/>
    <w:basedOn w:val="Fuentedeprrafopredeter"/>
    <w:uiPriority w:val="99"/>
    <w:semiHidden/>
    <w:unhideWhenUsed/>
    <w:rsid w:val="00632038"/>
    <w:rPr>
      <w:color w:val="800080" w:themeColor="followedHyperlink"/>
      <w:u w:val="single"/>
    </w:rPr>
  </w:style>
  <w:style w:type="paragraph" w:styleId="Sangra2detindependiente">
    <w:name w:val="Body Text Indent 2"/>
    <w:basedOn w:val="Normal"/>
    <w:link w:val="Sangra2detindependienteCar"/>
    <w:semiHidden/>
    <w:rsid w:val="009B6278"/>
    <w:pPr>
      <w:spacing w:after="0" w:line="240" w:lineRule="auto"/>
      <w:ind w:left="-56"/>
      <w:jc w:val="both"/>
    </w:pPr>
    <w:rPr>
      <w:rFonts w:ascii="Times New Roman" w:eastAsia="Times New Roman" w:hAnsi="Times New Roman" w:cs="Times New Roman"/>
      <w:sz w:val="16"/>
      <w:szCs w:val="16"/>
      <w:lang w:val="es-ES" w:eastAsia="es-ES"/>
    </w:rPr>
  </w:style>
  <w:style w:type="character" w:customStyle="1" w:styleId="Sangra2detindependienteCar">
    <w:name w:val="Sangría 2 de t. independiente Car"/>
    <w:basedOn w:val="Fuentedeprrafopredeter"/>
    <w:link w:val="Sangra2detindependiente"/>
    <w:semiHidden/>
    <w:rsid w:val="009B6278"/>
    <w:rPr>
      <w:rFonts w:ascii="Times New Roman" w:eastAsia="Times New Roman" w:hAnsi="Times New Roman" w:cs="Times New Roman"/>
      <w:sz w:val="16"/>
      <w:szCs w:val="16"/>
      <w:lang w:val="es-ES" w:eastAsia="es-ES"/>
    </w:rPr>
  </w:style>
  <w:style w:type="character" w:customStyle="1" w:styleId="Ttulo2Car">
    <w:name w:val="Título 2 Car"/>
    <w:basedOn w:val="Fuentedeprrafopredeter"/>
    <w:uiPriority w:val="9"/>
    <w:rsid w:val="00820187"/>
    <w:rPr>
      <w:rFonts w:asciiTheme="majorHAnsi" w:eastAsiaTheme="majorEastAsia" w:hAnsiTheme="majorHAnsi" w:cstheme="majorBidi"/>
      <w:b/>
      <w:bCs/>
      <w:color w:val="4F81BD" w:themeColor="accent1"/>
      <w:sz w:val="26"/>
      <w:szCs w:val="26"/>
      <w:lang w:eastAsia="en-US"/>
    </w:rPr>
  </w:style>
  <w:style w:type="character" w:customStyle="1" w:styleId="titulo">
    <w:name w:val="titulo"/>
    <w:basedOn w:val="Fuentedeprrafopredeter"/>
    <w:rsid w:val="00820187"/>
  </w:style>
  <w:style w:type="character" w:customStyle="1" w:styleId="subtitulo">
    <w:name w:val="subtitulo"/>
    <w:basedOn w:val="Fuentedeprrafopredeter"/>
    <w:rsid w:val="00820187"/>
  </w:style>
  <w:style w:type="character" w:styleId="AcrnimoHTML">
    <w:name w:val="HTML Acronym"/>
    <w:basedOn w:val="Fuentedeprrafopredeter"/>
    <w:uiPriority w:val="99"/>
    <w:semiHidden/>
    <w:unhideWhenUsed/>
    <w:rsid w:val="00820187"/>
  </w:style>
  <w:style w:type="character" w:customStyle="1" w:styleId="titleauthoretc">
    <w:name w:val="titleauthoretc"/>
    <w:basedOn w:val="Fuentedeprrafopredeter"/>
    <w:rsid w:val="005276CE"/>
  </w:style>
  <w:style w:type="character" w:customStyle="1" w:styleId="A4">
    <w:name w:val="A4"/>
    <w:uiPriority w:val="99"/>
    <w:rsid w:val="00520C6B"/>
    <w:rPr>
      <w:rFonts w:cs="Garamond"/>
      <w:color w:val="000000"/>
      <w:sz w:val="23"/>
      <w:szCs w:val="23"/>
    </w:rPr>
  </w:style>
  <w:style w:type="character" w:customStyle="1" w:styleId="article-title">
    <w:name w:val="article-title"/>
    <w:basedOn w:val="Fuentedeprrafopredeter"/>
    <w:rsid w:val="00810F79"/>
  </w:style>
  <w:style w:type="paragraph" w:customStyle="1" w:styleId="Estilo12">
    <w:name w:val="Estilo12"/>
    <w:basedOn w:val="Normal"/>
    <w:link w:val="Estilo12Car"/>
    <w:qFormat/>
    <w:rsid w:val="00695DB6"/>
    <w:pPr>
      <w:spacing w:after="0" w:line="480" w:lineRule="auto"/>
    </w:pPr>
    <w:rPr>
      <w:rFonts w:ascii="Times New Roman" w:hAnsi="Times New Roman" w:cs="Times New Roman"/>
      <w:color w:val="4F81BD"/>
      <w:sz w:val="24"/>
      <w:szCs w:val="24"/>
      <w:lang w:val="x-none" w:eastAsia="x-none"/>
    </w:rPr>
  </w:style>
  <w:style w:type="character" w:customStyle="1" w:styleId="Estilo12Car">
    <w:name w:val="Estilo12 Car"/>
    <w:link w:val="Estilo12"/>
    <w:rsid w:val="00695DB6"/>
    <w:rPr>
      <w:rFonts w:ascii="Times New Roman" w:eastAsia="Calibri" w:hAnsi="Times New Roman" w:cs="Times New Roman"/>
      <w:color w:val="4F81BD"/>
      <w:sz w:val="24"/>
      <w:szCs w:val="24"/>
      <w:lang w:val="x-none" w:eastAsia="x-none"/>
    </w:rPr>
  </w:style>
  <w:style w:type="paragraph" w:styleId="HTMLconformatoprevio">
    <w:name w:val="HTML Preformatted"/>
    <w:basedOn w:val="Normal"/>
    <w:link w:val="HTMLconformatoprevioCar"/>
    <w:uiPriority w:val="99"/>
    <w:semiHidden/>
    <w:unhideWhenUsed/>
    <w:rsid w:val="004A2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A2E71"/>
    <w:rPr>
      <w:rFonts w:ascii="Courier New" w:eastAsia="Times New Roman" w:hAnsi="Courier New" w:cs="Courier New"/>
      <w:sz w:val="20"/>
      <w:szCs w:val="20"/>
    </w:rPr>
  </w:style>
  <w:style w:type="character" w:styleId="Textodelmarcadordeposicin">
    <w:name w:val="Placeholder Text"/>
    <w:basedOn w:val="Fuentedeprrafopredeter"/>
    <w:uiPriority w:val="99"/>
    <w:semiHidden/>
    <w:rsid w:val="000B30CC"/>
    <w:rPr>
      <w:color w:val="808080"/>
    </w:rPr>
  </w:style>
  <w:style w:type="character" w:styleId="Mencinsinresolver">
    <w:name w:val="Unresolved Mention"/>
    <w:basedOn w:val="Fuentedeprrafopredeter"/>
    <w:uiPriority w:val="99"/>
    <w:semiHidden/>
    <w:unhideWhenUsed/>
    <w:rsid w:val="00A64169"/>
    <w:rPr>
      <w:color w:val="605E5C"/>
      <w:shd w:val="clear" w:color="auto" w:fill="E1DFDD"/>
    </w:rPr>
  </w:style>
  <w:style w:type="character" w:customStyle="1" w:styleId="who">
    <w:name w:val="who"/>
    <w:basedOn w:val="Fuentedeprrafopredeter"/>
    <w:rsid w:val="00B276D0"/>
  </w:style>
  <w:style w:type="paragraph" w:styleId="Textoindependiente">
    <w:name w:val="Body Text"/>
    <w:basedOn w:val="Normal"/>
    <w:link w:val="TextoindependienteCar"/>
    <w:uiPriority w:val="99"/>
    <w:unhideWhenUsed/>
    <w:rsid w:val="00E71286"/>
    <w:pPr>
      <w:spacing w:after="120"/>
    </w:pPr>
  </w:style>
  <w:style w:type="character" w:customStyle="1" w:styleId="TextoindependienteCar">
    <w:name w:val="Texto independiente Car"/>
    <w:basedOn w:val="Fuentedeprrafopredeter"/>
    <w:link w:val="Textoindependiente"/>
    <w:uiPriority w:val="99"/>
    <w:rsid w:val="00E71286"/>
  </w:style>
  <w:style w:type="paragraph" w:customStyle="1" w:styleId="TableParagraph">
    <w:name w:val="Table Paragraph"/>
    <w:basedOn w:val="Normal"/>
    <w:uiPriority w:val="1"/>
    <w:qFormat/>
    <w:rsid w:val="00E71286"/>
    <w:pPr>
      <w:widowControl w:val="0"/>
      <w:autoSpaceDE w:val="0"/>
      <w:autoSpaceDN w:val="0"/>
      <w:spacing w:before="120" w:after="120" w:line="275" w:lineRule="exact"/>
      <w:ind w:left="108" w:right="99" w:firstLine="709"/>
      <w:jc w:val="center"/>
    </w:pPr>
    <w:rPr>
      <w:rFonts w:ascii="Times New Roman" w:eastAsia="Times New Roman" w:hAnsi="Times New Roman" w:cs="Times New Roman"/>
      <w:sz w:val="24"/>
      <w:lang w:val="es-ES" w:eastAsia="en-US"/>
    </w:rPr>
  </w:style>
  <w:style w:type="table" w:customStyle="1" w:styleId="Tablaconcuadrcula1">
    <w:name w:val="Tabla con cuadrícula1"/>
    <w:basedOn w:val="Tablanormal"/>
    <w:next w:val="Tablaconcuadrcula"/>
    <w:uiPriority w:val="39"/>
    <w:rsid w:val="00C6052A"/>
    <w:pPr>
      <w:spacing w:after="0" w:line="240" w:lineRule="auto"/>
    </w:pPr>
    <w:rPr>
      <w:rFonts w:eastAsia="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spacing w:before="60" w:after="60" w:line="240" w:lineRule="auto"/>
      <w:jc w:val="both"/>
    </w:pPr>
    <w:rPr>
      <w:rFonts w:ascii="Tahoma" w:eastAsia="Tahoma" w:hAnsi="Tahoma" w:cs="Tahoma"/>
      <w:b/>
      <w:bCs/>
      <w:sz w:val="18"/>
      <w:szCs w:val="1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Revisin">
    <w:name w:val="Revision"/>
    <w:hidden/>
    <w:uiPriority w:val="99"/>
    <w:semiHidden/>
    <w:rsid w:val="00EE58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icrositios.centrodememoriahistorica.gov.co/observatorio/portal-de-datos/el-conflicto-en-cifras/" TargetMode="External"/><Relationship Id="rId18" Type="http://schemas.openxmlformats.org/officeDocument/2006/relationships/hyperlink" Target="https://doi.org/10.17533/udea.espo.n68a08" TargetMode="External"/><Relationship Id="rId26" Type="http://schemas.openxmlformats.org/officeDocument/2006/relationships/hyperlink" Target="https://ri.conicet.gov.ar/handle/11336/246986" TargetMode="External"/><Relationship Id="rId3" Type="http://schemas.openxmlformats.org/officeDocument/2006/relationships/numbering" Target="numbering.xml"/><Relationship Id="rId21" Type="http://schemas.openxmlformats.org/officeDocument/2006/relationships/hyperlink" Target="https://doi.org/10.15446/mag.v32n2.77012" TargetMode="External"/><Relationship Id="rId7" Type="http://schemas.openxmlformats.org/officeDocument/2006/relationships/footnotes" Target="footnotes.xml"/><Relationship Id="rId12" Type="http://schemas.openxmlformats.org/officeDocument/2006/relationships/hyperlink" Target="https://globalinitiative.net/analysis/colombia-frontera-clanmigracion/" TargetMode="External"/><Relationship Id="rId17" Type="http://schemas.openxmlformats.org/officeDocument/2006/relationships/hyperlink" Target="https://www.google.com/search?q=https://doi.org/10.47741/17943108.681" TargetMode="External"/><Relationship Id="rId25" Type="http://schemas.openxmlformats.org/officeDocument/2006/relationships/hyperlink" Target="https://doi.org/10.1017/S004388710000781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21830/19006586.1287" TargetMode="External"/><Relationship Id="rId20" Type="http://schemas.openxmlformats.org/officeDocument/2006/relationships/hyperlink" Target="https://www.ntn24.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0991/ALLAZIMUTH.1413433" TargetMode="External"/><Relationship Id="rId24" Type="http://schemas.openxmlformats.org/officeDocument/2006/relationships/hyperlink" Target="https://www.pulzo.com/nacion/luis-gilberto-murillo-reconocio-que-tren-aragua-si-colombia-PP356455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ertasstg.blob.core.windows.net/alertas/012-25.pdf" TargetMode="External"/><Relationship Id="rId23" Type="http://schemas.openxmlformats.org/officeDocument/2006/relationships/hyperlink" Target="https://www.google.com/url?sa=t&amp;source=web&amp;rct=j&amp;opi=89978449&amp;url=https://storage.ideaspaz.org/documents/fip_infome_segundoaniopetro_final.pdf&amp;ved=2ahUKEwie3qjw-pKTAxVKmIQIHT-wAGYQFnoECCcQAQ&amp;usg=AOvVaw3UrjIbA1bddW7QgeoSWyJW" TargetMode="External"/><Relationship Id="rId28" Type="http://schemas.openxmlformats.org/officeDocument/2006/relationships/hyperlink" Target="https://doi.org/10.1145/3015463" TargetMode="External"/><Relationship Id="rId10" Type="http://schemas.openxmlformats.org/officeDocument/2006/relationships/hyperlink" Target="https://globalinitiative.net/wp-content/uploads/2025/11/Criminality-and-multi-crime-dynamics-Trends-in-Latin-America-GI-TOC-November-2025.pdf" TargetMode="External"/><Relationship Id="rId19" Type="http://schemas.openxmlformats.org/officeDocument/2006/relationships/hyperlink" Target="https://www.kienyke.com/politica/petro-insinua-que-tren-de-aragua-tendria-lideres-de-extrema-derecha"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uncionpublica.gov.co/eva/gestornormativo/norma.php?i=197883" TargetMode="External"/><Relationship Id="rId22" Type="http://schemas.openxmlformats.org/officeDocument/2006/relationships/hyperlink" Target="https://www.portafolio.co/" TargetMode="External"/><Relationship Id="rId27" Type="http://schemas.openxmlformats.org/officeDocument/2006/relationships/hyperlink" Target="https://www.elcolombiano.com/colombia/carta-alias-larry-changa-tren-de-aragua-solicita-ser-gestor-de-paz-a-gustavo-petro-FA29924735" TargetMode="External"/><Relationship Id="rId30" Type="http://schemas.openxmlformats.org/officeDocument/2006/relationships/footer" Target="footer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6015-9078" TargetMode="External"/><Relationship Id="rId2" Type="http://schemas.openxmlformats.org/officeDocument/2006/relationships/hyperlink" Target="https://orcid.org/0000-0003-0772-0337" TargetMode="External"/><Relationship Id="rId1" Type="http://schemas.openxmlformats.org/officeDocument/2006/relationships/hyperlink" Target="https://orcid.org/0000-0002-2526-9044" TargetMode="External"/><Relationship Id="rId4" Type="http://schemas.openxmlformats.org/officeDocument/2006/relationships/hyperlink" Target="https://dx.doi.org/10.6084/m9.figshare.270739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vDNvS4lRuVC5ULzUEwW7CTbSg==">CgMxLjAaGgoBMBIVChMIBCoPCgtBQUFCMUxhamVuZxABIokCCgtBQUFCMUxhamVuZxLVAQoLQUFBQjFMYWplbmcSC0FBQUIxTGFqZW5nGg0KCXRleHQvaHRtbBIAIg4KCnRleHQvcGxhaW4SACobIhUxMDM4MjA3NTg0NzI2NzMwNzI2MjkoADgAMLeJ4f/JMziqkOH/yTNKOwokYXBwbGljYXRpb24vdm5kLmdvb2dsZS1hcHBzLmRvY3MubWRzGhPC19rkAQ0aCwoHCgEsEAEYABABWgxwdDNwbmh6MWUwMzZyAiAAeACCARRzdWdnZXN0Ljk1aDBtdzQ4MGEyapoBBggAEAAYABi3ieH/yTMgqpDh/8kzQhRzdWdnZXN0Ljk1aDBtdzQ4MGEyajIOaC5tdjVvOHAxeXRvdWg4AGosChRzdWdnZXN0Ljk1aDBtdzQ4MGEyahIUTG9yZW5hIEVyYXpvIFBhdGnDsW9yITF5Z0dQY05MS181ZWRKeXpSVXVYY3hPX3ZDVTZfWW1qbw==</go:docsCustomData>
</go:gDocsCustomXmlDataStorage>
</file>

<file path=customXml/itemProps1.xml><?xml version="1.0" encoding="utf-8"?>
<ds:datastoreItem xmlns:ds="http://schemas.openxmlformats.org/officeDocument/2006/customXml" ds:itemID="{3C9276B8-036C-4557-899E-7A1C7B8A0C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9654</Words>
  <Characters>53098</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62627</CharactersWithSpaces>
  <SharedDoc>false</SharedDoc>
  <HLinks>
    <vt:vector size="18" baseType="variant">
      <vt:variant>
        <vt:i4>7209011</vt:i4>
      </vt:variant>
      <vt:variant>
        <vt:i4>3</vt:i4>
      </vt:variant>
      <vt:variant>
        <vt:i4>0</vt:i4>
      </vt:variant>
      <vt:variant>
        <vt:i4>5</vt:i4>
      </vt:variant>
      <vt:variant>
        <vt:lpwstr>https://www.elcolombiano.com/colombia/carta-alias-larry-changa-tren-de-aragua-solicita-ser-gestor-de-paz-a-gustavo-petro-FA29924735</vt:lpwstr>
      </vt:variant>
      <vt:variant>
        <vt:lpwstr/>
      </vt:variant>
      <vt:variant>
        <vt:i4>7667767</vt:i4>
      </vt:variant>
      <vt:variant>
        <vt:i4>0</vt:i4>
      </vt:variant>
      <vt:variant>
        <vt:i4>0</vt:i4>
      </vt:variant>
      <vt:variant>
        <vt:i4>5</vt:i4>
      </vt:variant>
      <vt:variant>
        <vt:lpwstr>https://doi.org/10.5281/zenodo.8075454</vt:lpwstr>
      </vt:variant>
      <vt:variant>
        <vt:lpwstr/>
      </vt:variant>
      <vt:variant>
        <vt:i4>3080242</vt:i4>
      </vt:variant>
      <vt:variant>
        <vt:i4>0</vt:i4>
      </vt:variant>
      <vt:variant>
        <vt:i4>0</vt:i4>
      </vt:variant>
      <vt:variant>
        <vt:i4>5</vt:i4>
      </vt:variant>
      <vt:variant>
        <vt:lpwstr>https://dx.doi.org/10.6084/m9.figshare.27073945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dc:creator>
  <cp:lastModifiedBy>SANDRA VIVIANA DIAZ RINCON</cp:lastModifiedBy>
  <cp:revision>2</cp:revision>
  <dcterms:created xsi:type="dcterms:W3CDTF">2026-03-09T20:50:00Z</dcterms:created>
  <dcterms:modified xsi:type="dcterms:W3CDTF">2026-03-09T20:50:00Z</dcterms:modified>
</cp:coreProperties>
</file>